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CA32" w14:textId="656D3502" w:rsidR="00B472C3" w:rsidRPr="00D80AD7" w:rsidRDefault="00FB6570" w:rsidP="00B472C3">
      <w:pPr>
        <w:jc w:val="center"/>
      </w:pPr>
      <w:r>
        <w:rPr>
          <w:noProof/>
        </w:rPr>
        <w:drawing>
          <wp:inline distT="0" distB="0" distL="0" distR="0" wp14:anchorId="299787F0" wp14:editId="70B439D3">
            <wp:extent cx="5733415" cy="2540635"/>
            <wp:effectExtent l="0" t="0" r="635" b="0"/>
            <wp:docPr id="412496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96523" name="Picture 4124965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415" cy="2540635"/>
                    </a:xfrm>
                    <a:prstGeom prst="rect">
                      <a:avLst/>
                    </a:prstGeom>
                  </pic:spPr>
                </pic:pic>
              </a:graphicData>
            </a:graphic>
          </wp:inline>
        </w:drawing>
      </w:r>
    </w:p>
    <w:p w14:paraId="3BA5ADB7" w14:textId="77777777" w:rsidR="00B472C3" w:rsidRDefault="00B472C3" w:rsidP="00B472C3"/>
    <w:p w14:paraId="5E061F3E" w14:textId="77777777" w:rsidR="00B472C3" w:rsidRDefault="00B472C3" w:rsidP="00B472C3"/>
    <w:p w14:paraId="2BE97E97" w14:textId="77777777" w:rsidR="00A814B4" w:rsidRDefault="00B472C3" w:rsidP="00B472C3">
      <w:pPr>
        <w:jc w:val="center"/>
        <w:rPr>
          <w:sz w:val="40"/>
          <w:szCs w:val="40"/>
        </w:rPr>
      </w:pPr>
      <w:r w:rsidRPr="00B472C3">
        <w:rPr>
          <w:sz w:val="40"/>
          <w:szCs w:val="40"/>
        </w:rPr>
        <w:t xml:space="preserve">Football Federation Tasmania </w:t>
      </w:r>
    </w:p>
    <w:p w14:paraId="37AA445E" w14:textId="77777777" w:rsidR="00B472C3" w:rsidRPr="00B472C3" w:rsidRDefault="00B472C3" w:rsidP="00B472C3">
      <w:pPr>
        <w:jc w:val="center"/>
        <w:rPr>
          <w:sz w:val="40"/>
          <w:szCs w:val="40"/>
        </w:rPr>
      </w:pPr>
      <w:r w:rsidRPr="00B472C3">
        <w:rPr>
          <w:sz w:val="40"/>
          <w:szCs w:val="40"/>
        </w:rPr>
        <w:t>Credit Policy</w:t>
      </w:r>
    </w:p>
    <w:p w14:paraId="1A0D9800" w14:textId="77777777" w:rsidR="00B472C3" w:rsidRDefault="00B472C3" w:rsidP="00B472C3"/>
    <w:p w14:paraId="168D0747" w14:textId="77777777" w:rsidR="00007F6B" w:rsidRDefault="00007F6B" w:rsidP="00B472C3"/>
    <w:p w14:paraId="3B5CE903" w14:textId="77777777" w:rsidR="00007F6B" w:rsidRDefault="00007F6B" w:rsidP="00B472C3"/>
    <w:p w14:paraId="7663F719" w14:textId="77777777" w:rsidR="00007F6B" w:rsidRDefault="00007F6B" w:rsidP="00B472C3"/>
    <w:p w14:paraId="740B6035" w14:textId="77777777" w:rsidR="00007F6B" w:rsidRDefault="00007F6B" w:rsidP="00B472C3"/>
    <w:p w14:paraId="7376C145" w14:textId="5B9B96B9" w:rsidR="00007F6B" w:rsidRPr="00A814B4" w:rsidRDefault="00731F85" w:rsidP="00A814B4">
      <w:pPr>
        <w:pStyle w:val="TOC1"/>
        <w:tabs>
          <w:tab w:val="left" w:pos="440"/>
          <w:tab w:val="right" w:pos="8299"/>
        </w:tabs>
        <w:rPr>
          <w:noProof/>
        </w:rPr>
      </w:pPr>
      <w:r>
        <w:rPr>
          <w:b w:val="0"/>
          <w:caps w:val="0"/>
        </w:rPr>
        <w:fldChar w:fldCharType="begin"/>
      </w:r>
      <w:r w:rsidR="00007F6B">
        <w:rPr>
          <w:b w:val="0"/>
          <w:caps w:val="0"/>
        </w:rPr>
        <w:instrText xml:space="preserve"> TOC \o "1-1" \h \z \u </w:instrText>
      </w:r>
      <w:r>
        <w:rPr>
          <w:b w:val="0"/>
          <w:caps w:val="0"/>
        </w:rPr>
        <w:fldChar w:fldCharType="separate"/>
      </w:r>
      <w:hyperlink w:anchor="_Toc248746949" w:history="1">
        <w:r w:rsidR="00007F6B" w:rsidRPr="00A814B4">
          <w:rPr>
            <w:noProof/>
          </w:rPr>
          <w:t xml:space="preserve">1. </w:t>
        </w:r>
        <w:r w:rsidR="00A814B4">
          <w:rPr>
            <w:noProof/>
          </w:rPr>
          <w:tab/>
        </w:r>
        <w:r w:rsidR="00007F6B" w:rsidRPr="00A814B4">
          <w:rPr>
            <w:noProof/>
          </w:rPr>
          <w:t>Scope:</w:t>
        </w:r>
        <w:r w:rsidR="00007F6B">
          <w:rPr>
            <w:noProof/>
            <w:webHidden/>
          </w:rPr>
          <w:tab/>
        </w:r>
        <w:r>
          <w:rPr>
            <w:noProof/>
            <w:webHidden/>
          </w:rPr>
          <w:fldChar w:fldCharType="begin"/>
        </w:r>
        <w:r w:rsidR="00007F6B">
          <w:rPr>
            <w:noProof/>
            <w:webHidden/>
          </w:rPr>
          <w:instrText xml:space="preserve"> PAGEREF _Toc248746949 \h </w:instrText>
        </w:r>
        <w:r>
          <w:rPr>
            <w:noProof/>
            <w:webHidden/>
          </w:rPr>
        </w:r>
        <w:r>
          <w:rPr>
            <w:noProof/>
            <w:webHidden/>
          </w:rPr>
          <w:fldChar w:fldCharType="separate"/>
        </w:r>
        <w:r w:rsidR="00D762A7">
          <w:rPr>
            <w:noProof/>
            <w:webHidden/>
          </w:rPr>
          <w:t>2</w:t>
        </w:r>
        <w:r>
          <w:rPr>
            <w:noProof/>
            <w:webHidden/>
          </w:rPr>
          <w:fldChar w:fldCharType="end"/>
        </w:r>
      </w:hyperlink>
    </w:p>
    <w:p w14:paraId="2DE16330" w14:textId="607A7532" w:rsidR="00007F6B" w:rsidRPr="00A814B4" w:rsidRDefault="00007F6B" w:rsidP="00A814B4">
      <w:pPr>
        <w:pStyle w:val="TOC1"/>
        <w:tabs>
          <w:tab w:val="left" w:pos="440"/>
          <w:tab w:val="right" w:pos="8299"/>
        </w:tabs>
        <w:rPr>
          <w:noProof/>
        </w:rPr>
      </w:pPr>
      <w:hyperlink w:anchor="_Toc248746950" w:history="1">
        <w:r w:rsidRPr="00A814B4">
          <w:rPr>
            <w:noProof/>
          </w:rPr>
          <w:t xml:space="preserve">2. </w:t>
        </w:r>
        <w:r w:rsidR="00A814B4">
          <w:rPr>
            <w:noProof/>
          </w:rPr>
          <w:tab/>
        </w:r>
        <w:r w:rsidRPr="00A814B4">
          <w:rPr>
            <w:noProof/>
          </w:rPr>
          <w:t>Purpose:</w:t>
        </w:r>
        <w:r>
          <w:rPr>
            <w:noProof/>
            <w:webHidden/>
          </w:rPr>
          <w:tab/>
        </w:r>
        <w:r w:rsidR="00731F85">
          <w:rPr>
            <w:noProof/>
            <w:webHidden/>
          </w:rPr>
          <w:fldChar w:fldCharType="begin"/>
        </w:r>
        <w:r>
          <w:rPr>
            <w:noProof/>
            <w:webHidden/>
          </w:rPr>
          <w:instrText xml:space="preserve"> PAGEREF _Toc248746950 \h </w:instrText>
        </w:r>
        <w:r w:rsidR="00731F85">
          <w:rPr>
            <w:noProof/>
            <w:webHidden/>
          </w:rPr>
        </w:r>
        <w:r w:rsidR="00731F85">
          <w:rPr>
            <w:noProof/>
            <w:webHidden/>
          </w:rPr>
          <w:fldChar w:fldCharType="separate"/>
        </w:r>
        <w:r w:rsidR="00D762A7">
          <w:rPr>
            <w:noProof/>
            <w:webHidden/>
          </w:rPr>
          <w:t>2</w:t>
        </w:r>
        <w:r w:rsidR="00731F85">
          <w:rPr>
            <w:noProof/>
            <w:webHidden/>
          </w:rPr>
          <w:fldChar w:fldCharType="end"/>
        </w:r>
      </w:hyperlink>
    </w:p>
    <w:p w14:paraId="3AA6EA4D" w14:textId="6A9D464F" w:rsidR="00007F6B" w:rsidRPr="00A814B4" w:rsidRDefault="00007F6B" w:rsidP="00A814B4">
      <w:pPr>
        <w:pStyle w:val="TOC1"/>
        <w:tabs>
          <w:tab w:val="left" w:pos="440"/>
          <w:tab w:val="right" w:pos="8299"/>
        </w:tabs>
        <w:rPr>
          <w:noProof/>
        </w:rPr>
      </w:pPr>
      <w:hyperlink w:anchor="_Toc248746951" w:history="1">
        <w:r w:rsidRPr="00A814B4">
          <w:rPr>
            <w:noProof/>
          </w:rPr>
          <w:t xml:space="preserve">3. </w:t>
        </w:r>
        <w:r w:rsidR="00A814B4">
          <w:rPr>
            <w:noProof/>
          </w:rPr>
          <w:tab/>
        </w:r>
        <w:r w:rsidRPr="00A814B4">
          <w:rPr>
            <w:noProof/>
          </w:rPr>
          <w:t>Responsibilities:</w:t>
        </w:r>
        <w:r>
          <w:rPr>
            <w:noProof/>
            <w:webHidden/>
          </w:rPr>
          <w:tab/>
        </w:r>
        <w:r w:rsidR="00731F85">
          <w:rPr>
            <w:noProof/>
            <w:webHidden/>
          </w:rPr>
          <w:fldChar w:fldCharType="begin"/>
        </w:r>
        <w:r>
          <w:rPr>
            <w:noProof/>
            <w:webHidden/>
          </w:rPr>
          <w:instrText xml:space="preserve"> PAGEREF _Toc248746951 \h </w:instrText>
        </w:r>
        <w:r w:rsidR="00731F85">
          <w:rPr>
            <w:noProof/>
            <w:webHidden/>
          </w:rPr>
        </w:r>
        <w:r w:rsidR="00731F85">
          <w:rPr>
            <w:noProof/>
            <w:webHidden/>
          </w:rPr>
          <w:fldChar w:fldCharType="separate"/>
        </w:r>
        <w:r w:rsidR="00D762A7">
          <w:rPr>
            <w:noProof/>
            <w:webHidden/>
          </w:rPr>
          <w:t>2</w:t>
        </w:r>
        <w:r w:rsidR="00731F85">
          <w:rPr>
            <w:noProof/>
            <w:webHidden/>
          </w:rPr>
          <w:fldChar w:fldCharType="end"/>
        </w:r>
      </w:hyperlink>
    </w:p>
    <w:p w14:paraId="307758DA" w14:textId="2BB38B2A" w:rsidR="00007F6B" w:rsidRPr="00A814B4" w:rsidRDefault="00007F6B" w:rsidP="00A814B4">
      <w:pPr>
        <w:pStyle w:val="TOC1"/>
        <w:tabs>
          <w:tab w:val="left" w:pos="440"/>
          <w:tab w:val="right" w:pos="8299"/>
        </w:tabs>
        <w:rPr>
          <w:noProof/>
        </w:rPr>
      </w:pPr>
      <w:hyperlink w:anchor="_Toc248746952" w:history="1">
        <w:r w:rsidRPr="00A814B4">
          <w:rPr>
            <w:noProof/>
          </w:rPr>
          <w:t xml:space="preserve">4. </w:t>
        </w:r>
        <w:r w:rsidR="00A814B4">
          <w:rPr>
            <w:noProof/>
          </w:rPr>
          <w:tab/>
        </w:r>
        <w:r w:rsidRPr="00A814B4">
          <w:rPr>
            <w:noProof/>
          </w:rPr>
          <w:t>Credit Policy - General Information</w:t>
        </w:r>
        <w:r>
          <w:rPr>
            <w:noProof/>
            <w:webHidden/>
          </w:rPr>
          <w:tab/>
        </w:r>
        <w:r w:rsidR="00731F85">
          <w:rPr>
            <w:noProof/>
            <w:webHidden/>
          </w:rPr>
          <w:fldChar w:fldCharType="begin"/>
        </w:r>
        <w:r>
          <w:rPr>
            <w:noProof/>
            <w:webHidden/>
          </w:rPr>
          <w:instrText xml:space="preserve"> PAGEREF _Toc248746952 \h </w:instrText>
        </w:r>
        <w:r w:rsidR="00731F85">
          <w:rPr>
            <w:noProof/>
            <w:webHidden/>
          </w:rPr>
        </w:r>
        <w:r w:rsidR="00731F85">
          <w:rPr>
            <w:noProof/>
            <w:webHidden/>
          </w:rPr>
          <w:fldChar w:fldCharType="separate"/>
        </w:r>
        <w:r w:rsidR="00D762A7">
          <w:rPr>
            <w:noProof/>
            <w:webHidden/>
          </w:rPr>
          <w:t>2</w:t>
        </w:r>
        <w:r w:rsidR="00731F85">
          <w:rPr>
            <w:noProof/>
            <w:webHidden/>
          </w:rPr>
          <w:fldChar w:fldCharType="end"/>
        </w:r>
      </w:hyperlink>
    </w:p>
    <w:p w14:paraId="6D98649B" w14:textId="5A4B2E10" w:rsidR="00007F6B" w:rsidRPr="00A814B4" w:rsidRDefault="00007F6B">
      <w:pPr>
        <w:pStyle w:val="TOC1"/>
        <w:tabs>
          <w:tab w:val="left" w:pos="440"/>
          <w:tab w:val="right" w:pos="8299"/>
        </w:tabs>
        <w:rPr>
          <w:noProof/>
        </w:rPr>
      </w:pPr>
      <w:hyperlink w:anchor="_Toc248746953" w:history="1">
        <w:r w:rsidRPr="00A814B4">
          <w:rPr>
            <w:noProof/>
          </w:rPr>
          <w:t>5.</w:t>
        </w:r>
        <w:r w:rsidRPr="00A814B4">
          <w:rPr>
            <w:noProof/>
          </w:rPr>
          <w:tab/>
          <w:t>Credit Approval and Determination of Credit Limits:</w:t>
        </w:r>
        <w:r>
          <w:rPr>
            <w:noProof/>
            <w:webHidden/>
          </w:rPr>
          <w:tab/>
        </w:r>
        <w:r w:rsidR="00731F85">
          <w:rPr>
            <w:noProof/>
            <w:webHidden/>
          </w:rPr>
          <w:fldChar w:fldCharType="begin"/>
        </w:r>
        <w:r>
          <w:rPr>
            <w:noProof/>
            <w:webHidden/>
          </w:rPr>
          <w:instrText xml:space="preserve"> PAGEREF _Toc248746953 \h </w:instrText>
        </w:r>
        <w:r w:rsidR="00731F85">
          <w:rPr>
            <w:noProof/>
            <w:webHidden/>
          </w:rPr>
        </w:r>
        <w:r w:rsidR="00731F85">
          <w:rPr>
            <w:noProof/>
            <w:webHidden/>
          </w:rPr>
          <w:fldChar w:fldCharType="separate"/>
        </w:r>
        <w:r w:rsidR="00D762A7">
          <w:rPr>
            <w:noProof/>
            <w:webHidden/>
          </w:rPr>
          <w:t>4</w:t>
        </w:r>
        <w:r w:rsidR="00731F85">
          <w:rPr>
            <w:noProof/>
            <w:webHidden/>
          </w:rPr>
          <w:fldChar w:fldCharType="end"/>
        </w:r>
      </w:hyperlink>
    </w:p>
    <w:p w14:paraId="0A587E1B" w14:textId="6F2E697D" w:rsidR="00007F6B" w:rsidRDefault="00007F6B">
      <w:pPr>
        <w:pStyle w:val="TOC1"/>
        <w:tabs>
          <w:tab w:val="left" w:pos="440"/>
          <w:tab w:val="right" w:pos="8299"/>
        </w:tabs>
        <w:rPr>
          <w:rFonts w:ascii="Calibri" w:eastAsia="PMingLiU" w:hAnsi="Calibri"/>
          <w:b w:val="0"/>
          <w:caps w:val="0"/>
          <w:noProof/>
          <w:sz w:val="22"/>
          <w:szCs w:val="22"/>
          <w:lang w:val="en-AU"/>
        </w:rPr>
      </w:pPr>
      <w:hyperlink w:anchor="_Toc248746954" w:history="1">
        <w:r w:rsidRPr="005860FD">
          <w:rPr>
            <w:rStyle w:val="Hyperlink"/>
            <w:noProof/>
          </w:rPr>
          <w:t>6.</w:t>
        </w:r>
        <w:r>
          <w:rPr>
            <w:rFonts w:ascii="Calibri" w:eastAsia="PMingLiU" w:hAnsi="Calibri"/>
            <w:b w:val="0"/>
            <w:caps w:val="0"/>
            <w:noProof/>
            <w:sz w:val="22"/>
            <w:szCs w:val="22"/>
            <w:lang w:val="en-AU"/>
          </w:rPr>
          <w:tab/>
        </w:r>
        <w:r w:rsidRPr="005860FD">
          <w:rPr>
            <w:rStyle w:val="Hyperlink"/>
            <w:noProof/>
          </w:rPr>
          <w:t>Late Payment Penalties</w:t>
        </w:r>
        <w:r>
          <w:rPr>
            <w:noProof/>
            <w:webHidden/>
          </w:rPr>
          <w:tab/>
        </w:r>
        <w:r w:rsidR="00731F85">
          <w:rPr>
            <w:noProof/>
            <w:webHidden/>
          </w:rPr>
          <w:fldChar w:fldCharType="begin"/>
        </w:r>
        <w:r>
          <w:rPr>
            <w:noProof/>
            <w:webHidden/>
          </w:rPr>
          <w:instrText xml:space="preserve"> PAGEREF _Toc248746954 \h </w:instrText>
        </w:r>
        <w:r w:rsidR="00731F85">
          <w:rPr>
            <w:noProof/>
            <w:webHidden/>
          </w:rPr>
        </w:r>
        <w:r w:rsidR="00731F85">
          <w:rPr>
            <w:noProof/>
            <w:webHidden/>
          </w:rPr>
          <w:fldChar w:fldCharType="separate"/>
        </w:r>
        <w:r w:rsidR="00D762A7">
          <w:rPr>
            <w:noProof/>
            <w:webHidden/>
          </w:rPr>
          <w:t>5</w:t>
        </w:r>
        <w:r w:rsidR="00731F85">
          <w:rPr>
            <w:noProof/>
            <w:webHidden/>
          </w:rPr>
          <w:fldChar w:fldCharType="end"/>
        </w:r>
      </w:hyperlink>
    </w:p>
    <w:p w14:paraId="7FEA8595" w14:textId="77777777" w:rsidR="00B472C3" w:rsidRDefault="00731F85" w:rsidP="00B472C3">
      <w:r>
        <w:rPr>
          <w:b/>
          <w:caps/>
          <w:sz w:val="20"/>
        </w:rPr>
        <w:fldChar w:fldCharType="end"/>
      </w:r>
    </w:p>
    <w:p w14:paraId="631392AC" w14:textId="77777777" w:rsidR="00007F6B" w:rsidRDefault="00007F6B" w:rsidP="00B472C3">
      <w:pPr>
        <w:jc w:val="right"/>
        <w:rPr>
          <w:u w:val="single"/>
        </w:rPr>
      </w:pPr>
    </w:p>
    <w:p w14:paraId="00EEBFE8" w14:textId="77777777" w:rsidR="00007F6B" w:rsidRDefault="00007F6B" w:rsidP="00B472C3">
      <w:pPr>
        <w:jc w:val="right"/>
        <w:rPr>
          <w:u w:val="single"/>
        </w:rPr>
      </w:pPr>
    </w:p>
    <w:p w14:paraId="6244DE94" w14:textId="77777777" w:rsidR="00007F6B" w:rsidRDefault="00007F6B" w:rsidP="00B472C3">
      <w:pPr>
        <w:jc w:val="right"/>
        <w:rPr>
          <w:u w:val="single"/>
        </w:rPr>
      </w:pPr>
    </w:p>
    <w:p w14:paraId="071BAF8F" w14:textId="77777777" w:rsidR="00007F6B" w:rsidRDefault="00007F6B" w:rsidP="00B472C3">
      <w:pPr>
        <w:jc w:val="right"/>
        <w:rPr>
          <w:u w:val="single"/>
        </w:rPr>
      </w:pPr>
    </w:p>
    <w:p w14:paraId="4C2AAD15" w14:textId="77777777" w:rsidR="00007F6B" w:rsidRDefault="00007F6B" w:rsidP="00B472C3">
      <w:pPr>
        <w:jc w:val="right"/>
        <w:rPr>
          <w:u w:val="single"/>
        </w:rPr>
      </w:pPr>
    </w:p>
    <w:p w14:paraId="1C3ED7F2" w14:textId="77777777" w:rsidR="00007F6B" w:rsidRDefault="00007F6B" w:rsidP="00B472C3">
      <w:pPr>
        <w:jc w:val="right"/>
        <w:rPr>
          <w:u w:val="single"/>
        </w:rPr>
      </w:pPr>
    </w:p>
    <w:p w14:paraId="31EF262C" w14:textId="77777777" w:rsidR="00007F6B" w:rsidRDefault="00007F6B" w:rsidP="00B472C3">
      <w:pPr>
        <w:jc w:val="right"/>
        <w:rPr>
          <w:u w:val="single"/>
        </w:rPr>
      </w:pPr>
    </w:p>
    <w:p w14:paraId="3E9835DC" w14:textId="77777777" w:rsidR="00007F6B" w:rsidRDefault="00007F6B" w:rsidP="00B472C3">
      <w:pPr>
        <w:jc w:val="right"/>
        <w:rPr>
          <w:u w:val="single"/>
        </w:rPr>
      </w:pPr>
    </w:p>
    <w:p w14:paraId="70570486" w14:textId="77777777" w:rsidR="00007F6B" w:rsidRDefault="00007F6B" w:rsidP="00B472C3">
      <w:pPr>
        <w:jc w:val="right"/>
        <w:rPr>
          <w:u w:val="single"/>
        </w:rPr>
      </w:pPr>
    </w:p>
    <w:p w14:paraId="55556D15" w14:textId="77777777" w:rsidR="00007F6B" w:rsidRDefault="00007F6B" w:rsidP="00B472C3">
      <w:pPr>
        <w:jc w:val="right"/>
        <w:rPr>
          <w:u w:val="single"/>
        </w:rPr>
      </w:pPr>
    </w:p>
    <w:p w14:paraId="4946A7C1" w14:textId="77777777" w:rsidR="00007F6B" w:rsidRDefault="00007F6B" w:rsidP="00B472C3">
      <w:pPr>
        <w:jc w:val="right"/>
        <w:rPr>
          <w:u w:val="single"/>
        </w:rPr>
      </w:pPr>
    </w:p>
    <w:p w14:paraId="369E6AE2" w14:textId="77777777" w:rsidR="00007F6B" w:rsidRDefault="00007F6B" w:rsidP="00B472C3">
      <w:pPr>
        <w:jc w:val="right"/>
        <w:rPr>
          <w:u w:val="single"/>
        </w:rPr>
      </w:pPr>
    </w:p>
    <w:p w14:paraId="76773CC9" w14:textId="77777777" w:rsidR="00007F6B" w:rsidRDefault="00007F6B" w:rsidP="00B472C3">
      <w:pPr>
        <w:jc w:val="right"/>
        <w:rPr>
          <w:u w:val="single"/>
        </w:rPr>
      </w:pPr>
    </w:p>
    <w:p w14:paraId="5763DF4F" w14:textId="77777777" w:rsidR="00007F6B" w:rsidRDefault="00007F6B" w:rsidP="00B472C3">
      <w:pPr>
        <w:jc w:val="right"/>
        <w:rPr>
          <w:u w:val="single"/>
        </w:rPr>
      </w:pPr>
    </w:p>
    <w:p w14:paraId="2D7AAFF1" w14:textId="47D14509" w:rsidR="00B472C3" w:rsidRDefault="00584DA4" w:rsidP="00007F6B">
      <w:pPr>
        <w:rPr>
          <w:u w:val="single"/>
        </w:rPr>
      </w:pPr>
      <w:r>
        <w:rPr>
          <w:u w:val="single"/>
        </w:rPr>
        <w:t>February</w:t>
      </w:r>
      <w:r w:rsidR="00777DDF">
        <w:rPr>
          <w:u w:val="single"/>
        </w:rPr>
        <w:t xml:space="preserve"> 20</w:t>
      </w:r>
      <w:r>
        <w:rPr>
          <w:u w:val="single"/>
        </w:rPr>
        <w:t>20</w:t>
      </w:r>
    </w:p>
    <w:p w14:paraId="56BC8D03" w14:textId="77777777" w:rsidR="00B472C3" w:rsidRDefault="00B472C3" w:rsidP="00B472C3"/>
    <w:p w14:paraId="1A7A8B7A" w14:textId="77777777" w:rsidR="00B472C3" w:rsidRPr="00B472C3" w:rsidRDefault="00B472C3" w:rsidP="00B472C3">
      <w:pPr>
        <w:pStyle w:val="Heading1"/>
        <w:numPr>
          <w:ilvl w:val="0"/>
          <w:numId w:val="0"/>
        </w:numPr>
      </w:pPr>
      <w:r>
        <w:br w:type="page"/>
      </w:r>
      <w:bookmarkStart w:id="0" w:name="_Toc248746949"/>
      <w:r w:rsidRPr="00B472C3">
        <w:lastRenderedPageBreak/>
        <w:t>1. Scope:</w:t>
      </w:r>
      <w:bookmarkEnd w:id="0"/>
    </w:p>
    <w:p w14:paraId="6A45838F" w14:textId="781D4CAD" w:rsidR="00B472C3" w:rsidRPr="000B796C" w:rsidRDefault="00B472C3" w:rsidP="00B472C3">
      <w:pPr>
        <w:jc w:val="both"/>
        <w:rPr>
          <w:color w:val="0000FF"/>
        </w:rPr>
      </w:pPr>
      <w:r>
        <w:t xml:space="preserve">This credit policy and debtor management procedures applies to Football </w:t>
      </w:r>
      <w:r w:rsidR="00584DA4">
        <w:t>F</w:t>
      </w:r>
      <w:r>
        <w:t>ederation Tasmania Ltd (FFT) and should be read in conjunction with our Constitution (By-Law 8, section 5.1) and Competition Rules</w:t>
      </w:r>
      <w:r w:rsidR="00240836">
        <w:t>.</w:t>
      </w:r>
    </w:p>
    <w:p w14:paraId="07D506A7" w14:textId="77777777" w:rsidR="00B472C3" w:rsidRDefault="00B472C3" w:rsidP="00B472C3">
      <w:pPr>
        <w:jc w:val="both"/>
      </w:pPr>
    </w:p>
    <w:p w14:paraId="126CF842" w14:textId="77777777" w:rsidR="00B472C3" w:rsidRDefault="00B472C3" w:rsidP="00B472C3">
      <w:pPr>
        <w:pStyle w:val="Heading1"/>
        <w:numPr>
          <w:ilvl w:val="0"/>
          <w:numId w:val="0"/>
        </w:numPr>
      </w:pPr>
      <w:bookmarkStart w:id="1" w:name="_Toc248746950"/>
      <w:r>
        <w:t>2. Purpose:</w:t>
      </w:r>
      <w:bookmarkEnd w:id="1"/>
    </w:p>
    <w:p w14:paraId="797CA94E" w14:textId="77777777" w:rsidR="00B472C3" w:rsidRPr="00241CDC" w:rsidRDefault="00B472C3" w:rsidP="00B472C3">
      <w:pPr>
        <w:jc w:val="both"/>
      </w:pPr>
      <w:r>
        <w:t xml:space="preserve">A properly defined and implemented credit policy and debtor management procedures will: </w:t>
      </w:r>
    </w:p>
    <w:p w14:paraId="3E78116B" w14:textId="77777777" w:rsidR="00B472C3" w:rsidRPr="00241CDC" w:rsidRDefault="00B472C3" w:rsidP="00B472C3">
      <w:pPr>
        <w:numPr>
          <w:ilvl w:val="0"/>
          <w:numId w:val="22"/>
        </w:numPr>
        <w:autoSpaceDE w:val="0"/>
        <w:autoSpaceDN w:val="0"/>
        <w:adjustRightInd w:val="0"/>
        <w:rPr>
          <w:rFonts w:ascii="TimesNewRoman" w:hAnsi="TimesNewRoman" w:cs="TimesNewRoman"/>
        </w:rPr>
      </w:pPr>
      <w:r>
        <w:t xml:space="preserve">increase operating profitability, </w:t>
      </w:r>
    </w:p>
    <w:p w14:paraId="1F4107EB" w14:textId="17137F50" w:rsidR="00B472C3" w:rsidRPr="00241CDC" w:rsidRDefault="0053125B" w:rsidP="00B472C3">
      <w:pPr>
        <w:numPr>
          <w:ilvl w:val="0"/>
          <w:numId w:val="22"/>
        </w:numPr>
        <w:autoSpaceDE w:val="0"/>
        <w:autoSpaceDN w:val="0"/>
        <w:adjustRightInd w:val="0"/>
        <w:rPr>
          <w:rFonts w:ascii="TimesNewRoman" w:hAnsi="TimesNewRoman" w:cs="TimesNewRoman"/>
        </w:rPr>
      </w:pPr>
      <w:r>
        <w:t>maximize</w:t>
      </w:r>
      <w:r w:rsidR="00B472C3">
        <w:t xml:space="preserve"> cash</w:t>
      </w:r>
      <w:r w:rsidR="00B472C3" w:rsidRPr="00801E30">
        <w:t xml:space="preserve">flows from each area of </w:t>
      </w:r>
      <w:r w:rsidR="00D658E1">
        <w:t>FFT</w:t>
      </w:r>
      <w:r w:rsidR="00B472C3">
        <w:t xml:space="preserve">’s business, </w:t>
      </w:r>
    </w:p>
    <w:p w14:paraId="1CD9983E" w14:textId="6363C3FD" w:rsidR="00B472C3" w:rsidRPr="006D4D06" w:rsidRDefault="0053125B" w:rsidP="00B472C3">
      <w:pPr>
        <w:numPr>
          <w:ilvl w:val="0"/>
          <w:numId w:val="22"/>
        </w:numPr>
        <w:autoSpaceDE w:val="0"/>
        <w:autoSpaceDN w:val="0"/>
        <w:adjustRightInd w:val="0"/>
        <w:rPr>
          <w:rFonts w:ascii="TimesNewRoman" w:hAnsi="TimesNewRoman" w:cs="TimesNewRoman"/>
        </w:rPr>
      </w:pPr>
      <w:r>
        <w:t>minimize</w:t>
      </w:r>
      <w:r w:rsidR="00B472C3" w:rsidRPr="00801E30">
        <w:t xml:space="preserve"> the risk to the </w:t>
      </w:r>
      <w:r w:rsidR="00D658E1">
        <w:t>FFT</w:t>
      </w:r>
      <w:r w:rsidR="00B472C3" w:rsidRPr="00801E30">
        <w:t xml:space="preserve"> of bad debt</w:t>
      </w:r>
      <w:r w:rsidR="00B472C3">
        <w:t xml:space="preserve">s, and </w:t>
      </w:r>
    </w:p>
    <w:p w14:paraId="62B23C24" w14:textId="6207DA48" w:rsidR="00B472C3" w:rsidRDefault="00B472C3" w:rsidP="00B472C3">
      <w:pPr>
        <w:numPr>
          <w:ilvl w:val="0"/>
          <w:numId w:val="22"/>
        </w:numPr>
        <w:autoSpaceDE w:val="0"/>
        <w:autoSpaceDN w:val="0"/>
        <w:adjustRightInd w:val="0"/>
        <w:rPr>
          <w:rFonts w:ascii="TimesNewRoman" w:hAnsi="TimesNewRoman" w:cs="TimesNewRoman"/>
        </w:rPr>
      </w:pPr>
      <w:r w:rsidRPr="006D4D06">
        <w:rPr>
          <w:rFonts w:ascii="TimesNewRoman" w:hAnsi="TimesNewRoman" w:cs="TimesNewRoman"/>
        </w:rPr>
        <w:t xml:space="preserve">ensure </w:t>
      </w:r>
      <w:r w:rsidR="00D658E1">
        <w:rPr>
          <w:rFonts w:ascii="TimesNewRoman" w:hAnsi="TimesNewRoman" w:cs="TimesNewRoman"/>
        </w:rPr>
        <w:t>FFT</w:t>
      </w:r>
      <w:r w:rsidRPr="006D4D06">
        <w:rPr>
          <w:rFonts w:ascii="TimesNewRoman" w:hAnsi="TimesNewRoman" w:cs="TimesNewRoman"/>
        </w:rPr>
        <w:t xml:space="preserve"> manages its accounts receivable in such a way that it does not jeopardize the funding of its operations.</w:t>
      </w:r>
    </w:p>
    <w:p w14:paraId="6ABA2511" w14:textId="77777777" w:rsidR="00B472C3" w:rsidRDefault="00B472C3" w:rsidP="00B472C3">
      <w:pPr>
        <w:jc w:val="both"/>
      </w:pPr>
    </w:p>
    <w:p w14:paraId="022CDDEA" w14:textId="77777777" w:rsidR="00B472C3" w:rsidRPr="00B472C3" w:rsidRDefault="00B472C3" w:rsidP="00B472C3">
      <w:pPr>
        <w:pStyle w:val="Heading1"/>
        <w:numPr>
          <w:ilvl w:val="0"/>
          <w:numId w:val="0"/>
        </w:numPr>
      </w:pPr>
      <w:bookmarkStart w:id="2" w:name="_Toc248746951"/>
      <w:r w:rsidRPr="00B472C3">
        <w:t>3. Responsibilities:</w:t>
      </w:r>
      <w:bookmarkEnd w:id="2"/>
    </w:p>
    <w:p w14:paraId="0E49FA3B" w14:textId="77777777" w:rsidR="00B472C3" w:rsidRDefault="00B472C3" w:rsidP="00B472C3">
      <w:pPr>
        <w:spacing w:after="120"/>
        <w:jc w:val="both"/>
      </w:pPr>
      <w:r>
        <w:t>The policy and procedures have the approval of the Board and may only be changed with Board approval.</w:t>
      </w:r>
    </w:p>
    <w:p w14:paraId="471160F5" w14:textId="77777777" w:rsidR="00B472C3" w:rsidRDefault="00B472C3" w:rsidP="00B472C3">
      <w:pPr>
        <w:spacing w:after="120"/>
        <w:jc w:val="both"/>
      </w:pPr>
      <w:r>
        <w:t>It is the responsibility of the CEO to implement the credit policy. Ideally, there should be effective segregation of duties between ’sales’ and ‘debtor management’ functions. However, because of the small number of FFT staff this may not always be practical.</w:t>
      </w:r>
    </w:p>
    <w:p w14:paraId="00C17857" w14:textId="624DDB2A" w:rsidR="00B472C3" w:rsidRDefault="00B472C3" w:rsidP="00B472C3">
      <w:pPr>
        <w:autoSpaceDE w:val="0"/>
        <w:autoSpaceDN w:val="0"/>
        <w:adjustRightInd w:val="0"/>
        <w:rPr>
          <w:rFonts w:ascii="TimesNewRoman,Bold" w:hAnsi="TimesNewRoman,Bold" w:cs="TimesNewRoman,Bold"/>
          <w:bCs/>
        </w:rPr>
      </w:pPr>
      <w:r w:rsidRPr="00F7359D">
        <w:rPr>
          <w:rFonts w:ascii="TimesNewRoman" w:hAnsi="TimesNewRoman" w:cs="TimesNewRoman"/>
        </w:rPr>
        <w:t xml:space="preserve">It is important that </w:t>
      </w:r>
      <w:r>
        <w:rPr>
          <w:rFonts w:ascii="TimesNewRoman" w:hAnsi="TimesNewRoman" w:cs="TimesNewRoman"/>
        </w:rPr>
        <w:t>FFT staff are aware</w:t>
      </w:r>
      <w:r w:rsidRPr="00F7359D">
        <w:rPr>
          <w:rFonts w:ascii="TimesNewRoman" w:hAnsi="TimesNewRoman" w:cs="TimesNewRoman"/>
        </w:rPr>
        <w:t xml:space="preserve"> and </w:t>
      </w:r>
      <w:r>
        <w:rPr>
          <w:rFonts w:ascii="TimesNewRoman" w:hAnsi="TimesNewRoman" w:cs="TimesNewRoman"/>
        </w:rPr>
        <w:t>are capable of m</w:t>
      </w:r>
      <w:r w:rsidRPr="00F7359D">
        <w:rPr>
          <w:rFonts w:ascii="TimesNewRoman" w:hAnsi="TimesNewRoman" w:cs="TimesNewRoman"/>
        </w:rPr>
        <w:t>anaging the risk</w:t>
      </w:r>
      <w:r>
        <w:rPr>
          <w:rFonts w:ascii="TimesNewRoman" w:hAnsi="TimesNewRoman" w:cs="TimesNewRoman"/>
        </w:rPr>
        <w:t xml:space="preserve"> associated with transacting with clubs, associations, players, parents and other members of the broader football community.  </w:t>
      </w:r>
      <w:r w:rsidRPr="008210B5">
        <w:rPr>
          <w:rFonts w:ascii="TimesNewRoman,Bold" w:hAnsi="TimesNewRoman,Bold" w:cs="TimesNewRoman,Bold"/>
          <w:bCs/>
        </w:rPr>
        <w:t xml:space="preserve">It is vital that all decision makers in </w:t>
      </w:r>
      <w:r w:rsidR="00D658E1">
        <w:rPr>
          <w:rFonts w:ascii="TimesNewRoman,Bold" w:hAnsi="TimesNewRoman,Bold" w:cs="TimesNewRoman,Bold"/>
          <w:bCs/>
        </w:rPr>
        <w:t>FFT</w:t>
      </w:r>
      <w:r w:rsidRPr="008210B5">
        <w:rPr>
          <w:rFonts w:ascii="TimesNewRoman,Bold" w:hAnsi="TimesNewRoman,Bold" w:cs="TimesNewRoman,Bold"/>
          <w:bCs/>
        </w:rPr>
        <w:t xml:space="preserve"> are aware of the importance of cash management and fully co-operate with </w:t>
      </w:r>
      <w:r>
        <w:rPr>
          <w:rFonts w:ascii="TimesNewRoman,Bold" w:hAnsi="TimesNewRoman,Bold" w:cs="TimesNewRoman,Bold"/>
          <w:bCs/>
        </w:rPr>
        <w:t>the credit policy and supporting processes.</w:t>
      </w:r>
      <w:r w:rsidRPr="008210B5">
        <w:rPr>
          <w:rFonts w:ascii="TimesNewRoman,Bold" w:hAnsi="TimesNewRoman,Bold" w:cs="TimesNewRoman,Bold"/>
          <w:bCs/>
        </w:rPr>
        <w:t xml:space="preserve"> </w:t>
      </w:r>
    </w:p>
    <w:p w14:paraId="19325336" w14:textId="77777777" w:rsidR="00B472C3" w:rsidRDefault="00B472C3" w:rsidP="00B472C3"/>
    <w:p w14:paraId="3AAEFB89" w14:textId="77777777" w:rsidR="008D6703" w:rsidRDefault="00B472C3" w:rsidP="00B13C6B">
      <w:pPr>
        <w:pStyle w:val="Heading1"/>
        <w:numPr>
          <w:ilvl w:val="0"/>
          <w:numId w:val="0"/>
        </w:numPr>
      </w:pPr>
      <w:bookmarkStart w:id="3" w:name="_Toc248746952"/>
      <w:r w:rsidRPr="00B43225">
        <w:t xml:space="preserve">4. </w:t>
      </w:r>
      <w:r>
        <w:t xml:space="preserve">Credit Policy - </w:t>
      </w:r>
      <w:r w:rsidRPr="00B43225">
        <w:t>General Information</w:t>
      </w:r>
      <w:bookmarkEnd w:id="3"/>
    </w:p>
    <w:p w14:paraId="65F48F98" w14:textId="77777777" w:rsidR="00B13C6B" w:rsidRDefault="00B13C6B" w:rsidP="00B472C3">
      <w:pPr>
        <w:autoSpaceDE w:val="0"/>
        <w:autoSpaceDN w:val="0"/>
        <w:adjustRightInd w:val="0"/>
        <w:rPr>
          <w:b/>
        </w:rPr>
      </w:pPr>
    </w:p>
    <w:p w14:paraId="7235B40D" w14:textId="77777777" w:rsidR="00B472C3" w:rsidRPr="008D6703" w:rsidRDefault="00B472C3" w:rsidP="00B472C3">
      <w:pPr>
        <w:autoSpaceDE w:val="0"/>
        <w:autoSpaceDN w:val="0"/>
        <w:adjustRightInd w:val="0"/>
        <w:rPr>
          <w:b/>
        </w:rPr>
      </w:pPr>
      <w:r w:rsidRPr="008D6703">
        <w:rPr>
          <w:b/>
        </w:rPr>
        <w:t>Terms of Trade</w:t>
      </w:r>
    </w:p>
    <w:p w14:paraId="11493DE7" w14:textId="23B3A958" w:rsidR="00B472C3" w:rsidRDefault="00D658E1" w:rsidP="00B472C3">
      <w:pPr>
        <w:autoSpaceDE w:val="0"/>
        <w:autoSpaceDN w:val="0"/>
        <w:adjustRightInd w:val="0"/>
      </w:pPr>
      <w:r>
        <w:t>FFT</w:t>
      </w:r>
      <w:r w:rsidR="00B472C3">
        <w:t>’s general policy is one of payment in full on or prior to delivery of service and/or goods. In certain circumstances the recipient of the service and/or goods may apply and be assessed as being eligible for credit, which will be administered in accordance with sections that follow.</w:t>
      </w:r>
    </w:p>
    <w:p w14:paraId="41D87F0A" w14:textId="77777777" w:rsidR="00B472C3" w:rsidRDefault="00B472C3" w:rsidP="00B472C3">
      <w:pPr>
        <w:autoSpaceDE w:val="0"/>
        <w:autoSpaceDN w:val="0"/>
        <w:adjustRightInd w:val="0"/>
      </w:pPr>
    </w:p>
    <w:p w14:paraId="298E7E59" w14:textId="453E71D8" w:rsidR="00B472C3" w:rsidRDefault="00D658E1" w:rsidP="00B472C3">
      <w:pPr>
        <w:autoSpaceDE w:val="0"/>
        <w:autoSpaceDN w:val="0"/>
        <w:adjustRightInd w:val="0"/>
        <w:rPr>
          <w:rFonts w:ascii="TimesNewRoman,Bold" w:hAnsi="TimesNewRoman,Bold" w:cs="TimesNewRoman,Bold"/>
          <w:bCs/>
        </w:rPr>
      </w:pPr>
      <w:r>
        <w:t>FFT</w:t>
      </w:r>
      <w:r w:rsidR="00B472C3">
        <w:t xml:space="preserve"> </w:t>
      </w:r>
      <w:r w:rsidR="00B472C3" w:rsidRPr="006D4D06">
        <w:rPr>
          <w:rFonts w:ascii="TimesNewRoman,Bold" w:hAnsi="TimesNewRoman,Bold" w:cs="TimesNewRoman,Bold"/>
          <w:bCs/>
        </w:rPr>
        <w:t xml:space="preserve">commonly enters into transactions where </w:t>
      </w:r>
      <w:r w:rsidR="00B472C3">
        <w:rPr>
          <w:rFonts w:ascii="TimesNewRoman,Bold" w:hAnsi="TimesNewRoman,Bold" w:cs="TimesNewRoman,Bold"/>
          <w:bCs/>
        </w:rPr>
        <w:t>receipts from provision of services</w:t>
      </w:r>
      <w:r w:rsidR="00B472C3" w:rsidRPr="006D4D06">
        <w:rPr>
          <w:rFonts w:ascii="TimesNewRoman,Bold" w:hAnsi="TimesNewRoman,Bold" w:cs="TimesNewRoman,Bold"/>
          <w:bCs/>
        </w:rPr>
        <w:t xml:space="preserve"> </w:t>
      </w:r>
      <w:r w:rsidR="00B472C3">
        <w:rPr>
          <w:rFonts w:ascii="TimesNewRoman,Bold" w:hAnsi="TimesNewRoman,Bold" w:cs="TimesNewRoman,Bold"/>
          <w:bCs/>
        </w:rPr>
        <w:t>are</w:t>
      </w:r>
      <w:r w:rsidR="00B472C3" w:rsidRPr="006D4D06">
        <w:rPr>
          <w:rFonts w:ascii="TimesNewRoman,Bold" w:hAnsi="TimesNewRoman,Bold" w:cs="TimesNewRoman,Bold"/>
          <w:bCs/>
        </w:rPr>
        <w:t xml:space="preserve"> not received on provision of </w:t>
      </w:r>
      <w:r w:rsidR="00B472C3">
        <w:rPr>
          <w:rFonts w:ascii="TimesNewRoman,Bold" w:hAnsi="TimesNewRoman,Bold" w:cs="TimesNewRoman,Bold"/>
          <w:bCs/>
        </w:rPr>
        <w:t xml:space="preserve">those </w:t>
      </w:r>
      <w:r w:rsidR="00B472C3" w:rsidRPr="006D4D06">
        <w:rPr>
          <w:rFonts w:ascii="TimesNewRoman,Bold" w:hAnsi="TimesNewRoman,Bold" w:cs="TimesNewRoman,Bold"/>
          <w:bCs/>
        </w:rPr>
        <w:t xml:space="preserve">services </w:t>
      </w:r>
      <w:r w:rsidR="00B472C3">
        <w:rPr>
          <w:rFonts w:ascii="TimesNewRoman,Bold" w:hAnsi="TimesNewRoman,Bold" w:cs="TimesNewRoman,Bold"/>
          <w:bCs/>
        </w:rPr>
        <w:t>(</w:t>
      </w:r>
      <w:r w:rsidR="0053125B">
        <w:rPr>
          <w:rFonts w:ascii="TimesNewRoman,Bold" w:hAnsi="TimesNewRoman,Bold" w:cs="TimesNewRoman,Bold"/>
          <w:bCs/>
        </w:rPr>
        <w:t>e.g.</w:t>
      </w:r>
      <w:r w:rsidR="00B472C3" w:rsidRPr="006D4D06">
        <w:rPr>
          <w:rFonts w:ascii="TimesNewRoman,Bold" w:hAnsi="TimesNewRoman,Bold" w:cs="TimesNewRoman,Bold"/>
          <w:bCs/>
        </w:rPr>
        <w:t xml:space="preserve"> application of fines</w:t>
      </w:r>
      <w:r w:rsidR="00B472C3">
        <w:rPr>
          <w:rFonts w:ascii="TimesNewRoman,Bold" w:hAnsi="TimesNewRoman,Bold" w:cs="TimesNewRoman,Bold"/>
          <w:bCs/>
        </w:rPr>
        <w:t>, recovery of costs for match officials, ground hire, etc)</w:t>
      </w:r>
      <w:r w:rsidR="00B472C3" w:rsidRPr="006D4D06">
        <w:rPr>
          <w:rFonts w:ascii="TimesNewRoman,Bold" w:hAnsi="TimesNewRoman,Bold" w:cs="TimesNewRoman,Bold"/>
          <w:bCs/>
        </w:rPr>
        <w:t xml:space="preserve">.  </w:t>
      </w:r>
      <w:proofErr w:type="gramStart"/>
      <w:r w:rsidR="00B472C3" w:rsidRPr="006D4D06">
        <w:rPr>
          <w:rFonts w:ascii="TimesNewRoman,Bold" w:hAnsi="TimesNewRoman,Bold" w:cs="TimesNewRoman,Bold"/>
          <w:bCs/>
        </w:rPr>
        <w:t>Thus</w:t>
      </w:r>
      <w:proofErr w:type="gramEnd"/>
      <w:r w:rsidR="00B472C3" w:rsidRPr="006D4D06">
        <w:rPr>
          <w:rFonts w:ascii="TimesNewRoman,Bold" w:hAnsi="TimesNewRoman,Bold" w:cs="TimesNewRoman,Bold"/>
          <w:bCs/>
        </w:rPr>
        <w:t xml:space="preserve"> </w:t>
      </w:r>
      <w:r w:rsidR="00B472C3">
        <w:rPr>
          <w:rFonts w:ascii="TimesNewRoman,Bold" w:hAnsi="TimesNewRoman,Bold" w:cs="TimesNewRoman,Bold"/>
          <w:bCs/>
        </w:rPr>
        <w:t>FFT</w:t>
      </w:r>
      <w:r w:rsidR="00B472C3" w:rsidRPr="006D4D06">
        <w:rPr>
          <w:rFonts w:ascii="TimesNewRoman,Bold" w:hAnsi="TimesNewRoman,Bold" w:cs="TimesNewRoman,Bold"/>
          <w:bCs/>
        </w:rPr>
        <w:t xml:space="preserve"> provides </w:t>
      </w:r>
      <w:r w:rsidR="00B472C3">
        <w:rPr>
          <w:rFonts w:ascii="TimesNewRoman,Bold" w:hAnsi="TimesNewRoman,Bold" w:cs="TimesNewRoman,Bold"/>
          <w:bCs/>
        </w:rPr>
        <w:t>‘</w:t>
      </w:r>
      <w:r w:rsidR="00B472C3" w:rsidRPr="006D4D06">
        <w:rPr>
          <w:rFonts w:ascii="TimesNewRoman,Bold" w:hAnsi="TimesNewRoman,Bold" w:cs="TimesNewRoman,Bold"/>
          <w:bCs/>
        </w:rPr>
        <w:t>credit</w:t>
      </w:r>
      <w:r w:rsidR="00B472C3">
        <w:rPr>
          <w:rFonts w:ascii="TimesNewRoman,Bold" w:hAnsi="TimesNewRoman,Bold" w:cs="TimesNewRoman,Bold"/>
          <w:bCs/>
        </w:rPr>
        <w:t>’</w:t>
      </w:r>
      <w:r w:rsidR="00B472C3" w:rsidRPr="006D4D06">
        <w:rPr>
          <w:rFonts w:ascii="TimesNewRoman,Bold" w:hAnsi="TimesNewRoman,Bold" w:cs="TimesNewRoman,Bold"/>
          <w:bCs/>
        </w:rPr>
        <w:t xml:space="preserve"> to those parties fr</w:t>
      </w:r>
      <w:r w:rsidR="00B472C3">
        <w:rPr>
          <w:rFonts w:ascii="TimesNewRoman,Bold" w:hAnsi="TimesNewRoman,Bold" w:cs="TimesNewRoman,Bold"/>
          <w:bCs/>
        </w:rPr>
        <w:t xml:space="preserve">om the time that the service </w:t>
      </w:r>
      <w:r w:rsidR="00B472C3" w:rsidRPr="006D4D06">
        <w:rPr>
          <w:rFonts w:ascii="TimesNewRoman,Bold" w:hAnsi="TimesNewRoman,Bold" w:cs="TimesNewRoman,Bold"/>
          <w:bCs/>
        </w:rPr>
        <w:t>is provided (or fine</w:t>
      </w:r>
      <w:r w:rsidR="00B472C3">
        <w:rPr>
          <w:rFonts w:ascii="TimesNewRoman,Bold" w:hAnsi="TimesNewRoman,Bold" w:cs="TimesNewRoman,Bold"/>
          <w:bCs/>
        </w:rPr>
        <w:t>/fee/charge</w:t>
      </w:r>
      <w:r w:rsidR="00B472C3" w:rsidRPr="006D4D06">
        <w:rPr>
          <w:rFonts w:ascii="TimesNewRoman,Bold" w:hAnsi="TimesNewRoman,Bold" w:cs="TimesNewRoman,Bold"/>
          <w:bCs/>
        </w:rPr>
        <w:t xml:space="preserve"> levied) until they pay the full amount due (or </w:t>
      </w:r>
      <w:r w:rsidR="00B472C3">
        <w:rPr>
          <w:rFonts w:ascii="TimesNewRoman,Bold" w:hAnsi="TimesNewRoman,Bold" w:cs="TimesNewRoman,Bold"/>
          <w:bCs/>
        </w:rPr>
        <w:t>FFT</w:t>
      </w:r>
      <w:r w:rsidR="00B472C3" w:rsidRPr="006D4D06">
        <w:rPr>
          <w:rFonts w:ascii="TimesNewRoman,Bold" w:hAnsi="TimesNewRoman,Bold" w:cs="TimesNewRoman,Bold"/>
          <w:bCs/>
        </w:rPr>
        <w:t xml:space="preserve"> decides to forgo the debt).  During that time, </w:t>
      </w:r>
      <w:r w:rsidR="00B472C3">
        <w:rPr>
          <w:rFonts w:ascii="TimesNewRoman,Bold" w:hAnsi="TimesNewRoman,Bold" w:cs="TimesNewRoman,Bold"/>
          <w:bCs/>
        </w:rPr>
        <w:t>FFT</w:t>
      </w:r>
      <w:r w:rsidR="00B472C3" w:rsidRPr="006D4D06">
        <w:rPr>
          <w:rFonts w:ascii="TimesNewRoman,Bold" w:hAnsi="TimesNewRoman,Bold" w:cs="TimesNewRoman,Bold"/>
          <w:bCs/>
        </w:rPr>
        <w:t xml:space="preserve"> </w:t>
      </w:r>
      <w:r w:rsidR="00B472C3">
        <w:rPr>
          <w:rFonts w:ascii="TimesNewRoman,Bold" w:hAnsi="TimesNewRoman,Bold" w:cs="TimesNewRoman,Bold"/>
          <w:bCs/>
        </w:rPr>
        <w:t>will</w:t>
      </w:r>
      <w:r w:rsidR="00B472C3" w:rsidRPr="006D4D06">
        <w:rPr>
          <w:rFonts w:ascii="TimesNewRoman,Bold" w:hAnsi="TimesNewRoman,Bold" w:cs="TimesNewRoman,Bold"/>
          <w:bCs/>
        </w:rPr>
        <w:t xml:space="preserve"> reco</w:t>
      </w:r>
      <w:r w:rsidR="00B472C3">
        <w:rPr>
          <w:rFonts w:ascii="TimesNewRoman,Bold" w:hAnsi="TimesNewRoman,Bold" w:cs="TimesNewRoman,Bold"/>
          <w:bCs/>
        </w:rPr>
        <w:t xml:space="preserve">gnize those parties as debtors.  </w:t>
      </w:r>
      <w:r w:rsidR="00B472C3" w:rsidRPr="006D4D06">
        <w:rPr>
          <w:rFonts w:ascii="TimesNewRoman,Bold" w:hAnsi="TimesNewRoman,Bold" w:cs="TimesNewRoman,Bold"/>
          <w:bCs/>
        </w:rPr>
        <w:t>Credit</w:t>
      </w:r>
      <w:r w:rsidR="00B472C3">
        <w:rPr>
          <w:rFonts w:ascii="TimesNewRoman,Bold" w:hAnsi="TimesNewRoman,Bold" w:cs="TimesNewRoman,Bold"/>
          <w:bCs/>
        </w:rPr>
        <w:t xml:space="preserve"> under these circumstances</w:t>
      </w:r>
      <w:r w:rsidR="00B472C3" w:rsidRPr="006D4D06">
        <w:rPr>
          <w:rFonts w:ascii="TimesNewRoman,Bold" w:hAnsi="TimesNewRoman,Bold" w:cs="TimesNewRoman,Bold"/>
          <w:bCs/>
        </w:rPr>
        <w:t xml:space="preserve"> is</w:t>
      </w:r>
      <w:r w:rsidR="00B472C3">
        <w:rPr>
          <w:rFonts w:ascii="TimesNewRoman,Bold" w:hAnsi="TimesNewRoman,Bold" w:cs="TimesNewRoman,Bold"/>
          <w:bCs/>
        </w:rPr>
        <w:t xml:space="preserve"> generally</w:t>
      </w:r>
      <w:r w:rsidR="00B472C3" w:rsidRPr="006D4D06">
        <w:rPr>
          <w:rFonts w:ascii="TimesNewRoman,Bold" w:hAnsi="TimesNewRoman,Bold" w:cs="TimesNewRoman,Bold"/>
          <w:bCs/>
        </w:rPr>
        <w:t xml:space="preserve"> </w:t>
      </w:r>
      <w:r w:rsidR="0053125B">
        <w:rPr>
          <w:rFonts w:ascii="TimesNewRoman,Bold" w:hAnsi="TimesNewRoman,Bold" w:cs="TimesNewRoman,Bold"/>
          <w:bCs/>
        </w:rPr>
        <w:t>recognized</w:t>
      </w:r>
      <w:r w:rsidR="00B472C3">
        <w:rPr>
          <w:rFonts w:ascii="TimesNewRoman,Bold" w:hAnsi="TimesNewRoman,Bold" w:cs="TimesNewRoman,Bold"/>
          <w:bCs/>
        </w:rPr>
        <w:t xml:space="preserve"> on issue of invoice. </w:t>
      </w:r>
    </w:p>
    <w:p w14:paraId="5A91DC65" w14:textId="77777777" w:rsidR="00B472C3" w:rsidRDefault="00B472C3" w:rsidP="00B472C3">
      <w:pPr>
        <w:autoSpaceDE w:val="0"/>
        <w:autoSpaceDN w:val="0"/>
        <w:adjustRightInd w:val="0"/>
        <w:rPr>
          <w:rFonts w:ascii="TimesNewRoman,Bold" w:hAnsi="TimesNewRoman,Bold" w:cs="TimesNewRoman,Bold"/>
          <w:bCs/>
        </w:rPr>
      </w:pPr>
    </w:p>
    <w:p w14:paraId="28C0F425" w14:textId="75DDFD0C" w:rsidR="00007F6B" w:rsidRPr="00A814B4" w:rsidRDefault="00B472C3" w:rsidP="00B472C3">
      <w:pPr>
        <w:autoSpaceDE w:val="0"/>
        <w:autoSpaceDN w:val="0"/>
        <w:adjustRightInd w:val="0"/>
        <w:rPr>
          <w:rFonts w:ascii="TimesNewRoman,Bold" w:hAnsi="TimesNewRoman,Bold" w:cs="TimesNewRoman,Bold"/>
          <w:b/>
          <w:bCs/>
        </w:rPr>
      </w:pPr>
      <w:r w:rsidRPr="008D6703">
        <w:rPr>
          <w:rFonts w:ascii="TimesNewRoman,Bold" w:hAnsi="TimesNewRoman,Bold" w:cs="TimesNewRoman,Bold"/>
          <w:b/>
          <w:bCs/>
        </w:rPr>
        <w:t xml:space="preserve">Common </w:t>
      </w:r>
      <w:r w:rsidR="00D658E1">
        <w:rPr>
          <w:rFonts w:ascii="TimesNewRoman,Bold" w:hAnsi="TimesNewRoman,Bold" w:cs="TimesNewRoman,Bold"/>
          <w:b/>
          <w:bCs/>
        </w:rPr>
        <w:t>FFT</w:t>
      </w:r>
      <w:r w:rsidRPr="008D6703">
        <w:rPr>
          <w:rFonts w:ascii="TimesNewRoman,Bold" w:hAnsi="TimesNewRoman,Bold" w:cs="TimesNewRoman,Bold"/>
          <w:b/>
          <w:bCs/>
        </w:rPr>
        <w:t xml:space="preserve"> Business Activities</w:t>
      </w:r>
    </w:p>
    <w:p w14:paraId="0D630709" w14:textId="77777777" w:rsidR="00B472C3" w:rsidRPr="00B472C3" w:rsidRDefault="00B472C3" w:rsidP="00B472C3">
      <w:pPr>
        <w:pStyle w:val="ListParagraph"/>
        <w:numPr>
          <w:ilvl w:val="0"/>
          <w:numId w:val="1"/>
        </w:numPr>
        <w:spacing w:after="0" w:line="240" w:lineRule="auto"/>
        <w:contextualSpacing w:val="0"/>
        <w:jc w:val="both"/>
        <w:outlineLvl w:val="1"/>
        <w:rPr>
          <w:rFonts w:ascii="Arial" w:eastAsia="Times New Roman" w:hAnsi="Arial"/>
          <w:vanish/>
          <w:sz w:val="24"/>
          <w:szCs w:val="20"/>
          <w:lang w:val="en-US" w:eastAsia="en-AU"/>
        </w:rPr>
      </w:pPr>
    </w:p>
    <w:p w14:paraId="2B11A4B6" w14:textId="77777777" w:rsidR="00B472C3" w:rsidRPr="00B472C3" w:rsidRDefault="00B472C3" w:rsidP="00B472C3">
      <w:pPr>
        <w:pStyle w:val="ListParagraph"/>
        <w:numPr>
          <w:ilvl w:val="0"/>
          <w:numId w:val="1"/>
        </w:numPr>
        <w:spacing w:after="0" w:line="240" w:lineRule="auto"/>
        <w:contextualSpacing w:val="0"/>
        <w:jc w:val="both"/>
        <w:outlineLvl w:val="1"/>
        <w:rPr>
          <w:rFonts w:ascii="Arial" w:eastAsia="Times New Roman" w:hAnsi="Arial"/>
          <w:vanish/>
          <w:sz w:val="24"/>
          <w:szCs w:val="20"/>
          <w:lang w:val="en-US" w:eastAsia="en-AU"/>
        </w:rPr>
      </w:pPr>
    </w:p>
    <w:p w14:paraId="5EE895AF" w14:textId="77777777" w:rsidR="00B472C3" w:rsidRPr="00B472C3" w:rsidRDefault="00B472C3" w:rsidP="00B472C3">
      <w:pPr>
        <w:pStyle w:val="ListParagraph"/>
        <w:numPr>
          <w:ilvl w:val="0"/>
          <w:numId w:val="1"/>
        </w:numPr>
        <w:spacing w:after="0" w:line="240" w:lineRule="auto"/>
        <w:contextualSpacing w:val="0"/>
        <w:jc w:val="both"/>
        <w:outlineLvl w:val="1"/>
        <w:rPr>
          <w:rFonts w:ascii="Arial" w:eastAsia="Times New Roman" w:hAnsi="Arial"/>
          <w:vanish/>
          <w:sz w:val="24"/>
          <w:szCs w:val="20"/>
          <w:lang w:val="en-US" w:eastAsia="en-AU"/>
        </w:rPr>
      </w:pPr>
    </w:p>
    <w:p w14:paraId="1BC343ED" w14:textId="77777777" w:rsidR="00B472C3" w:rsidRPr="00B472C3" w:rsidRDefault="00B472C3" w:rsidP="00B472C3">
      <w:pPr>
        <w:pStyle w:val="ListParagraph"/>
        <w:numPr>
          <w:ilvl w:val="0"/>
          <w:numId w:val="1"/>
        </w:numPr>
        <w:spacing w:after="0" w:line="240" w:lineRule="auto"/>
        <w:contextualSpacing w:val="0"/>
        <w:jc w:val="both"/>
        <w:outlineLvl w:val="1"/>
        <w:rPr>
          <w:rFonts w:ascii="Arial" w:eastAsia="Times New Roman" w:hAnsi="Arial"/>
          <w:vanish/>
          <w:sz w:val="24"/>
          <w:szCs w:val="20"/>
          <w:lang w:val="en-US" w:eastAsia="en-AU"/>
        </w:rPr>
      </w:pPr>
    </w:p>
    <w:p w14:paraId="2D119D69" w14:textId="77777777" w:rsidR="00B472C3" w:rsidRPr="0053125B" w:rsidRDefault="00B472C3" w:rsidP="0053125B">
      <w:pPr>
        <w:pStyle w:val="Heading2"/>
      </w:pPr>
      <w:r w:rsidRPr="0053125B">
        <w:t>FFT Competitions - Competition Fees</w:t>
      </w:r>
    </w:p>
    <w:p w14:paraId="17D09578" w14:textId="79F02650"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 xml:space="preserve">A </w:t>
      </w:r>
      <w:r w:rsidR="00240836">
        <w:rPr>
          <w:rFonts w:ascii="TimesNewRoman,Bold" w:hAnsi="TimesNewRoman,Bold" w:cs="TimesNewRoman,Bold"/>
          <w:bCs/>
        </w:rPr>
        <w:t>c</w:t>
      </w:r>
      <w:r>
        <w:rPr>
          <w:rFonts w:ascii="TimesNewRoman,Bold" w:hAnsi="TimesNewRoman,Bold" w:cs="TimesNewRoman,Bold"/>
          <w:bCs/>
        </w:rPr>
        <w:t xml:space="preserve">lub that enters a team in a FFT administered competition will incur </w:t>
      </w:r>
      <w:proofErr w:type="gramStart"/>
      <w:r>
        <w:rPr>
          <w:rFonts w:ascii="TimesNewRoman,Bold" w:hAnsi="TimesNewRoman,Bold" w:cs="TimesNewRoman,Bold"/>
          <w:bCs/>
        </w:rPr>
        <w:t>a number of</w:t>
      </w:r>
      <w:proofErr w:type="gramEnd"/>
      <w:r>
        <w:rPr>
          <w:rFonts w:ascii="TimesNewRoman,Bold" w:hAnsi="TimesNewRoman,Bold" w:cs="TimesNewRoman,Bold"/>
          <w:bCs/>
        </w:rPr>
        <w:t xml:space="preserve"> fees and charges (</w:t>
      </w:r>
      <w:r w:rsidR="0053125B">
        <w:rPr>
          <w:rFonts w:ascii="TimesNewRoman,Bold" w:hAnsi="TimesNewRoman,Bold" w:cs="TimesNewRoman,Bold"/>
          <w:bCs/>
        </w:rPr>
        <w:t>e.g.</w:t>
      </w:r>
      <w:r>
        <w:rPr>
          <w:rFonts w:ascii="TimesNewRoman,Bold" w:hAnsi="TimesNewRoman,Bold" w:cs="TimesNewRoman,Bold"/>
          <w:bCs/>
        </w:rPr>
        <w:t xml:space="preserve"> team </w:t>
      </w:r>
      <w:r w:rsidR="0053125B">
        <w:rPr>
          <w:rFonts w:ascii="TimesNewRoman,Bold" w:hAnsi="TimesNewRoman,Bold" w:cs="TimesNewRoman,Bold"/>
          <w:bCs/>
        </w:rPr>
        <w:t>nomination</w:t>
      </w:r>
      <w:r>
        <w:rPr>
          <w:rFonts w:ascii="TimesNewRoman,Bold" w:hAnsi="TimesNewRoman,Bold" w:cs="TimesNewRoman,Bold"/>
          <w:bCs/>
        </w:rPr>
        <w:t xml:space="preserve"> and player registration fees, charges for match officials and ground hire, fines). Team </w:t>
      </w:r>
      <w:r w:rsidR="0053125B">
        <w:rPr>
          <w:rFonts w:ascii="TimesNewRoman,Bold" w:hAnsi="TimesNewRoman,Bold" w:cs="TimesNewRoman,Bold"/>
          <w:bCs/>
        </w:rPr>
        <w:t>nomination</w:t>
      </w:r>
      <w:r>
        <w:rPr>
          <w:rFonts w:ascii="TimesNewRoman,Bold" w:hAnsi="TimesNewRoman,Bold" w:cs="TimesNewRoman,Bold"/>
          <w:bCs/>
        </w:rPr>
        <w:t xml:space="preserve"> and player registration fees are known prior to </w:t>
      </w:r>
      <w:r>
        <w:rPr>
          <w:rFonts w:ascii="TimesNewRoman,Bold" w:hAnsi="TimesNewRoman,Bold" w:cs="TimesNewRoman,Bold"/>
          <w:bCs/>
        </w:rPr>
        <w:lastRenderedPageBreak/>
        <w:t>commencement of the playing season, whilst referee and ground hire charges (if applicable) are not known with certainty until after a fixture has been played.</w:t>
      </w:r>
    </w:p>
    <w:p w14:paraId="3802EBA5" w14:textId="77777777" w:rsidR="00B472C3" w:rsidRDefault="00B472C3" w:rsidP="00B472C3">
      <w:pPr>
        <w:autoSpaceDE w:val="0"/>
        <w:autoSpaceDN w:val="0"/>
        <w:adjustRightInd w:val="0"/>
        <w:rPr>
          <w:rFonts w:ascii="TimesNewRoman,Bold" w:hAnsi="TimesNewRoman,Bold" w:cs="TimesNewRoman,Bold"/>
          <w:bCs/>
        </w:rPr>
      </w:pPr>
    </w:p>
    <w:p w14:paraId="6316E49E" w14:textId="77777777" w:rsidR="0053125B" w:rsidRDefault="00B472C3" w:rsidP="0053125B">
      <w:pPr>
        <w:pStyle w:val="Heading2"/>
      </w:pPr>
      <w:r w:rsidRPr="00B43225">
        <w:t>Team Nomination Fees</w:t>
      </w:r>
      <w:r>
        <w:t xml:space="preserve"> </w:t>
      </w:r>
    </w:p>
    <w:p w14:paraId="251DC8A5" w14:textId="77777777" w:rsidR="00F96904" w:rsidRDefault="006B5D2C" w:rsidP="00B472C3">
      <w:pPr>
        <w:autoSpaceDE w:val="0"/>
        <w:autoSpaceDN w:val="0"/>
        <w:adjustRightInd w:val="0"/>
        <w:rPr>
          <w:rFonts w:ascii="TimesNewRoman,Bold" w:hAnsi="TimesNewRoman,Bold" w:cs="TimesNewRoman,Bold"/>
          <w:bCs/>
        </w:rPr>
      </w:pPr>
      <w:r w:rsidRPr="00612036">
        <w:rPr>
          <w:rFonts w:ascii="TimesNewRoman,Bold" w:hAnsi="TimesNewRoman,Bold" w:cs="TimesNewRoman,Bold"/>
          <w:bCs/>
        </w:rPr>
        <w:t xml:space="preserve">Clubs will be invoiced </w:t>
      </w:r>
      <w:r w:rsidR="00C01D8E" w:rsidRPr="00612036">
        <w:rPr>
          <w:rFonts w:ascii="TimesNewRoman,Bold" w:hAnsi="TimesNewRoman,Bold" w:cs="TimesNewRoman,Bold"/>
          <w:bCs/>
        </w:rPr>
        <w:t>shortly after the commencement of the competition</w:t>
      </w:r>
      <w:r w:rsidR="00C01D8E">
        <w:rPr>
          <w:rFonts w:ascii="TimesNewRoman,Bold" w:hAnsi="TimesNewRoman,Bold" w:cs="TimesNewRoman,Bold"/>
          <w:bCs/>
        </w:rPr>
        <w:t xml:space="preserve"> (</w:t>
      </w:r>
      <w:proofErr w:type="spellStart"/>
      <w:r w:rsidR="00C01D8E">
        <w:rPr>
          <w:rFonts w:ascii="TimesNewRoman,Bold" w:hAnsi="TimesNewRoman,Bold" w:cs="TimesNewRoman,Bold"/>
          <w:bCs/>
        </w:rPr>
        <w:t>ie</w:t>
      </w:r>
      <w:proofErr w:type="spellEnd"/>
      <w:r w:rsidR="00C01D8E">
        <w:rPr>
          <w:rFonts w:ascii="TimesNewRoman,Bold" w:hAnsi="TimesNewRoman,Bold" w:cs="TimesNewRoman,Bold"/>
          <w:bCs/>
        </w:rPr>
        <w:t xml:space="preserve"> generally in</w:t>
      </w:r>
      <w:r>
        <w:rPr>
          <w:rFonts w:ascii="TimesNewRoman,Bold" w:hAnsi="TimesNewRoman,Bold" w:cs="TimesNewRoman,Bold"/>
          <w:bCs/>
        </w:rPr>
        <w:t xml:space="preserve"> April</w:t>
      </w:r>
      <w:r w:rsidR="00C01D8E">
        <w:rPr>
          <w:rFonts w:ascii="TimesNewRoman,Bold" w:hAnsi="TimesNewRoman,Bold" w:cs="TimesNewRoman,Bold"/>
          <w:bCs/>
        </w:rPr>
        <w:t>)</w:t>
      </w:r>
      <w:r>
        <w:rPr>
          <w:rFonts w:ascii="TimesNewRoman,Bold" w:hAnsi="TimesNewRoman,Bold" w:cs="TimesNewRoman,Bold"/>
          <w:bCs/>
        </w:rPr>
        <w:t xml:space="preserve"> and, if provided with credit, be permitted to pay</w:t>
      </w:r>
      <w:r w:rsidR="00B472C3">
        <w:rPr>
          <w:rFonts w:ascii="TimesNewRoman,Bold" w:hAnsi="TimesNewRoman,Bold" w:cs="TimesNewRoman,Bold"/>
          <w:bCs/>
        </w:rPr>
        <w:t xml:space="preserve"> by </w:t>
      </w:r>
      <w:r w:rsidR="0053125B">
        <w:rPr>
          <w:rFonts w:ascii="TimesNewRoman,Bold" w:hAnsi="TimesNewRoman,Bold" w:cs="TimesNewRoman,Bold"/>
          <w:bCs/>
        </w:rPr>
        <w:t>installment</w:t>
      </w:r>
      <w:r w:rsidR="00F96904">
        <w:rPr>
          <w:rFonts w:ascii="TimesNewRoman,Bold" w:hAnsi="TimesNewRoman,Bold" w:cs="TimesNewRoman,Bold"/>
          <w:bCs/>
        </w:rPr>
        <w:t xml:space="preserve">s of </w:t>
      </w:r>
      <w:r w:rsidR="00C01D8E">
        <w:rPr>
          <w:rFonts w:ascii="TimesNewRoman,Bold" w:hAnsi="TimesNewRoman,Bold" w:cs="TimesNewRoman,Bold"/>
          <w:bCs/>
        </w:rPr>
        <w:t>5</w:t>
      </w:r>
      <w:r w:rsidR="00B472C3">
        <w:rPr>
          <w:rFonts w:ascii="TimesNewRoman,Bold" w:hAnsi="TimesNewRoman,Bold" w:cs="TimesNewRoman,Bold"/>
          <w:bCs/>
        </w:rPr>
        <w:t xml:space="preserve">0% </w:t>
      </w:r>
      <w:r w:rsidR="00C01D8E">
        <w:rPr>
          <w:rFonts w:ascii="TimesNewRoman,Bold" w:hAnsi="TimesNewRoman,Bold" w:cs="TimesNewRoman,Bold"/>
          <w:bCs/>
        </w:rPr>
        <w:t>by end of week 2, May and the remaining 50% by the end of week 3 June</w:t>
      </w:r>
      <w:r w:rsidR="00F96904">
        <w:rPr>
          <w:rFonts w:ascii="TimesNewRoman,Bold" w:hAnsi="TimesNewRoman,Bold" w:cs="TimesNewRoman,Bold"/>
          <w:bCs/>
        </w:rPr>
        <w:t>.</w:t>
      </w:r>
    </w:p>
    <w:p w14:paraId="004D6CC6" w14:textId="4C83C9B0" w:rsidR="006B5D2C" w:rsidRDefault="00F96904" w:rsidP="00B472C3">
      <w:pPr>
        <w:autoSpaceDE w:val="0"/>
        <w:autoSpaceDN w:val="0"/>
        <w:adjustRightInd w:val="0"/>
        <w:rPr>
          <w:rFonts w:ascii="TimesNewRoman,Bold" w:hAnsi="TimesNewRoman,Bold" w:cs="TimesNewRoman,Bold"/>
          <w:bCs/>
        </w:rPr>
      </w:pPr>
      <w:r>
        <w:rPr>
          <w:rFonts w:ascii="TimesNewRoman,Bold" w:hAnsi="TimesNewRoman,Bold" w:cs="TimesNewRoman,Bold"/>
          <w:bCs/>
        </w:rPr>
        <w:t>Note 1 – Clubs participating in the NPL are bound by the terms in the NPL License Agreement.</w:t>
      </w:r>
      <w:r w:rsidR="00B472C3">
        <w:rPr>
          <w:rFonts w:ascii="TimesNewRoman,Bold" w:hAnsi="TimesNewRoman,Bold" w:cs="TimesNewRoman,Bold"/>
          <w:bCs/>
        </w:rPr>
        <w:t xml:space="preserve">  </w:t>
      </w:r>
    </w:p>
    <w:p w14:paraId="3552A692" w14:textId="152DD495"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Note</w:t>
      </w:r>
      <w:r w:rsidR="00F96904">
        <w:rPr>
          <w:rFonts w:ascii="TimesNewRoman,Bold" w:hAnsi="TimesNewRoman,Bold" w:cs="TimesNewRoman,Bold"/>
          <w:bCs/>
        </w:rPr>
        <w:t xml:space="preserve"> 2</w:t>
      </w:r>
      <w:r>
        <w:rPr>
          <w:rFonts w:ascii="TimesNewRoman,Bold" w:hAnsi="TimesNewRoman,Bold" w:cs="TimesNewRoman,Bold"/>
          <w:bCs/>
        </w:rPr>
        <w:t xml:space="preserve"> - a new </w:t>
      </w:r>
      <w:r w:rsidR="00240836">
        <w:rPr>
          <w:rFonts w:ascii="TimesNewRoman,Bold" w:hAnsi="TimesNewRoman,Bold" w:cs="TimesNewRoman,Bold"/>
          <w:bCs/>
        </w:rPr>
        <w:t>c</w:t>
      </w:r>
      <w:r>
        <w:rPr>
          <w:rFonts w:ascii="TimesNewRoman,Bold" w:hAnsi="TimesNewRoman,Bold" w:cs="TimesNewRoman,Bold"/>
          <w:bCs/>
        </w:rPr>
        <w:t xml:space="preserve">lub or </w:t>
      </w:r>
      <w:r w:rsidR="00240836">
        <w:rPr>
          <w:rFonts w:ascii="TimesNewRoman,Bold" w:hAnsi="TimesNewRoman,Bold" w:cs="TimesNewRoman,Bold"/>
          <w:bCs/>
        </w:rPr>
        <w:t>c</w:t>
      </w:r>
      <w:r>
        <w:rPr>
          <w:rFonts w:ascii="TimesNewRoman,Bold" w:hAnsi="TimesNewRoman,Bold" w:cs="TimesNewRoman,Bold"/>
          <w:bCs/>
        </w:rPr>
        <w:t>lub with a debt carried over from the previous year must pay all team nomination fees up-front before they are permitted to enter any competition (</w:t>
      </w:r>
      <w:proofErr w:type="spellStart"/>
      <w:r>
        <w:rPr>
          <w:rFonts w:ascii="TimesNewRoman,Bold" w:hAnsi="TimesNewRoman,Bold" w:cs="TimesNewRoman,Bold"/>
          <w:bCs/>
        </w:rPr>
        <w:t>ie</w:t>
      </w:r>
      <w:proofErr w:type="spellEnd"/>
      <w:r>
        <w:rPr>
          <w:rFonts w:ascii="TimesNewRoman,Bold" w:hAnsi="TimesNewRoman,Bold" w:cs="TimesNewRoman,Bold"/>
          <w:bCs/>
        </w:rPr>
        <w:t xml:space="preserve"> no credit terms).</w:t>
      </w:r>
      <w:r w:rsidR="006B5D2C">
        <w:rPr>
          <w:rFonts w:ascii="TimesNewRoman,Bold" w:hAnsi="TimesNewRoman,Bold" w:cs="TimesNewRoman,Bold"/>
          <w:bCs/>
        </w:rPr>
        <w:t xml:space="preserve">  For the purpose of calculating overdue debts, payment is due in full when the initial invoice is raised.</w:t>
      </w:r>
    </w:p>
    <w:p w14:paraId="3ECD032F" w14:textId="77777777" w:rsidR="00B472C3" w:rsidRDefault="00B472C3" w:rsidP="00B472C3">
      <w:pPr>
        <w:autoSpaceDE w:val="0"/>
        <w:autoSpaceDN w:val="0"/>
        <w:adjustRightInd w:val="0"/>
        <w:rPr>
          <w:rFonts w:ascii="TimesNewRoman,Bold" w:hAnsi="TimesNewRoman,Bold" w:cs="TimesNewRoman,Bold"/>
          <w:bCs/>
        </w:rPr>
      </w:pPr>
    </w:p>
    <w:p w14:paraId="5A0009A0" w14:textId="77777777" w:rsidR="0053125B" w:rsidRDefault="00B472C3" w:rsidP="0053125B">
      <w:pPr>
        <w:pStyle w:val="Heading2"/>
      </w:pPr>
      <w:r w:rsidRPr="00B43225">
        <w:t>Player Registration Fees</w:t>
      </w:r>
    </w:p>
    <w:p w14:paraId="4E7E1A03" w14:textId="2B420DFB"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 xml:space="preserve">The </w:t>
      </w:r>
      <w:r w:rsidR="00240836">
        <w:rPr>
          <w:rFonts w:ascii="TimesNewRoman,Bold" w:hAnsi="TimesNewRoman,Bold" w:cs="TimesNewRoman,Bold"/>
          <w:bCs/>
        </w:rPr>
        <w:t>c</w:t>
      </w:r>
      <w:r>
        <w:rPr>
          <w:rFonts w:ascii="TimesNewRoman,Bold" w:hAnsi="TimesNewRoman,Bold" w:cs="TimesNewRoman,Bold"/>
          <w:bCs/>
        </w:rPr>
        <w:t>lub must pay a player’s registration fee up-front before that player is eligible to play (</w:t>
      </w:r>
      <w:proofErr w:type="spellStart"/>
      <w:r>
        <w:rPr>
          <w:rFonts w:ascii="TimesNewRoman,Bold" w:hAnsi="TimesNewRoman,Bold" w:cs="TimesNewRoman,Bold"/>
          <w:bCs/>
        </w:rPr>
        <w:t>ie</w:t>
      </w:r>
      <w:proofErr w:type="spellEnd"/>
      <w:r>
        <w:rPr>
          <w:rFonts w:ascii="TimesNewRoman,Bold" w:hAnsi="TimesNewRoman,Bold" w:cs="TimesNewRoman,Bold"/>
          <w:bCs/>
        </w:rPr>
        <w:t xml:space="preserve"> no credit terms).</w:t>
      </w:r>
      <w:r w:rsidR="00C01D8E">
        <w:rPr>
          <w:rFonts w:ascii="TimesNewRoman,Bold" w:hAnsi="TimesNewRoman,Bold" w:cs="TimesNewRoman,Bold"/>
          <w:bCs/>
        </w:rPr>
        <w:t xml:space="preserve"> No invoice </w:t>
      </w:r>
      <w:r w:rsidR="009C2C46">
        <w:rPr>
          <w:rFonts w:ascii="TimesNewRoman,Bold" w:hAnsi="TimesNewRoman,Bold" w:cs="TimesNewRoman,Bold"/>
          <w:bCs/>
        </w:rPr>
        <w:t>(</w:t>
      </w:r>
      <w:r w:rsidR="00C01D8E">
        <w:rPr>
          <w:rFonts w:ascii="TimesNewRoman,Bold" w:hAnsi="TimesNewRoman,Bold" w:cs="TimesNewRoman,Bold"/>
          <w:bCs/>
        </w:rPr>
        <w:t>with credit terms</w:t>
      </w:r>
      <w:r w:rsidR="009C2C46">
        <w:rPr>
          <w:rFonts w:ascii="TimesNewRoman,Bold" w:hAnsi="TimesNewRoman,Bold" w:cs="TimesNewRoman,Bold"/>
          <w:bCs/>
        </w:rPr>
        <w:t>)</w:t>
      </w:r>
      <w:r w:rsidR="00C01D8E">
        <w:rPr>
          <w:rFonts w:ascii="TimesNewRoman,Bold" w:hAnsi="TimesNewRoman,Bold" w:cs="TimesNewRoman,Bold"/>
          <w:bCs/>
        </w:rPr>
        <w:t xml:space="preserve"> will be issued. A </w:t>
      </w:r>
      <w:r w:rsidR="009C2C46">
        <w:rPr>
          <w:rFonts w:ascii="TimesNewRoman,Bold" w:hAnsi="TimesNewRoman,Bold" w:cs="TimesNewRoman,Bold"/>
          <w:bCs/>
        </w:rPr>
        <w:t>tax invoice will be issued</w:t>
      </w:r>
      <w:r w:rsidR="00956E55">
        <w:rPr>
          <w:rFonts w:ascii="TimesNewRoman,Bold" w:hAnsi="TimesNewRoman,Bold" w:cs="TimesNewRoman,Bold"/>
          <w:bCs/>
        </w:rPr>
        <w:t xml:space="preserve"> in line with statutory requirements</w:t>
      </w:r>
      <w:r w:rsidR="009C2C46">
        <w:rPr>
          <w:rFonts w:ascii="TimesNewRoman,Bold" w:hAnsi="TimesNewRoman,Bold" w:cs="TimesNewRoman,Bold"/>
          <w:bCs/>
        </w:rPr>
        <w:t xml:space="preserve"> </w:t>
      </w:r>
      <w:r w:rsidR="00956E55">
        <w:rPr>
          <w:rFonts w:ascii="TimesNewRoman,Bold" w:hAnsi="TimesNewRoman,Bold" w:cs="TimesNewRoman,Bold"/>
          <w:bCs/>
        </w:rPr>
        <w:t>as a receipt for payment(s) received.</w:t>
      </w:r>
    </w:p>
    <w:p w14:paraId="56B8CB97" w14:textId="77777777" w:rsidR="00B472C3" w:rsidRDefault="00B472C3" w:rsidP="00B472C3">
      <w:pPr>
        <w:autoSpaceDE w:val="0"/>
        <w:autoSpaceDN w:val="0"/>
        <w:adjustRightInd w:val="0"/>
        <w:rPr>
          <w:rFonts w:ascii="TimesNewRoman,Bold" w:hAnsi="TimesNewRoman,Bold" w:cs="TimesNewRoman,Bold"/>
          <w:bCs/>
        </w:rPr>
      </w:pPr>
    </w:p>
    <w:p w14:paraId="0A674C48" w14:textId="77777777" w:rsidR="0053125B" w:rsidRDefault="00B472C3" w:rsidP="0053125B">
      <w:pPr>
        <w:pStyle w:val="Heading2"/>
      </w:pPr>
      <w:r w:rsidRPr="00B43225">
        <w:t>Match Day Charges</w:t>
      </w:r>
    </w:p>
    <w:p w14:paraId="37E61344" w14:textId="65C1BC06"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 xml:space="preserve"> (</w:t>
      </w:r>
      <w:r w:rsidR="0053125B">
        <w:rPr>
          <w:rFonts w:ascii="TimesNewRoman,Bold" w:hAnsi="TimesNewRoman,Bold" w:cs="TimesNewRoman,Bold"/>
          <w:bCs/>
        </w:rPr>
        <w:t>e.g.</w:t>
      </w:r>
      <w:r>
        <w:rPr>
          <w:rFonts w:ascii="TimesNewRoman,Bold" w:hAnsi="TimesNewRoman,Bold" w:cs="TimesNewRoman,Bold"/>
          <w:bCs/>
        </w:rPr>
        <w:t xml:space="preserve"> for match officials and ground hire – if applicable) – </w:t>
      </w:r>
      <w:r w:rsidR="00240836">
        <w:rPr>
          <w:rFonts w:ascii="TimesNewRoman,Bold" w:hAnsi="TimesNewRoman,Bold" w:cs="TimesNewRoman,Bold"/>
          <w:bCs/>
        </w:rPr>
        <w:t>c</w:t>
      </w:r>
      <w:r>
        <w:rPr>
          <w:rFonts w:ascii="TimesNewRoman,Bold" w:hAnsi="TimesNewRoman,Bold" w:cs="TimesNewRoman,Bold"/>
          <w:bCs/>
        </w:rPr>
        <w:t>lubs are invoiced monthly in arrears.</w:t>
      </w:r>
    </w:p>
    <w:p w14:paraId="107DD885" w14:textId="77777777" w:rsidR="00B472C3" w:rsidRDefault="00B472C3" w:rsidP="00B472C3">
      <w:pPr>
        <w:autoSpaceDE w:val="0"/>
        <w:autoSpaceDN w:val="0"/>
        <w:adjustRightInd w:val="0"/>
        <w:rPr>
          <w:rFonts w:ascii="TimesNewRoman,Bold" w:hAnsi="TimesNewRoman,Bold" w:cs="TimesNewRoman,Bold"/>
          <w:bCs/>
        </w:rPr>
      </w:pPr>
    </w:p>
    <w:p w14:paraId="46E81E5D" w14:textId="77777777" w:rsidR="0053125B" w:rsidRDefault="00B472C3" w:rsidP="0053125B">
      <w:pPr>
        <w:pStyle w:val="Heading2"/>
      </w:pPr>
      <w:r w:rsidRPr="00D658E1">
        <w:rPr>
          <w:iCs/>
        </w:rPr>
        <w:t>Other</w:t>
      </w:r>
      <w:r>
        <w:t xml:space="preserve"> (</w:t>
      </w:r>
      <w:r w:rsidR="0053125B">
        <w:t>e.g.</w:t>
      </w:r>
      <w:r>
        <w:t xml:space="preserve"> fines) </w:t>
      </w:r>
    </w:p>
    <w:p w14:paraId="51E1AA87" w14:textId="77777777"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Clubs are invoiced in arrears and are given a period of time (not exceeding 30 days) to complete payment.</w:t>
      </w:r>
    </w:p>
    <w:p w14:paraId="5957E797" w14:textId="77777777" w:rsidR="00B472C3" w:rsidRDefault="00B472C3" w:rsidP="00B472C3">
      <w:pPr>
        <w:autoSpaceDE w:val="0"/>
        <w:autoSpaceDN w:val="0"/>
        <w:adjustRightInd w:val="0"/>
        <w:rPr>
          <w:rFonts w:ascii="TimesNewRoman,Bold" w:hAnsi="TimesNewRoman,Bold" w:cs="TimesNewRoman,Bold"/>
          <w:bCs/>
        </w:rPr>
      </w:pPr>
    </w:p>
    <w:p w14:paraId="1C5C70F0" w14:textId="77777777" w:rsidR="00B472C3" w:rsidRPr="0064700D" w:rsidRDefault="00B472C3" w:rsidP="0053125B">
      <w:pPr>
        <w:pStyle w:val="Heading2"/>
      </w:pPr>
      <w:r w:rsidRPr="0064700D">
        <w:t>Player Development</w:t>
      </w:r>
    </w:p>
    <w:p w14:paraId="21655BF0" w14:textId="77777777"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 xml:space="preserve">FFT administers a number of player development programs that include selecting and sending representative squads to national championships, and regional competitions locally and interstate.  FFT incurs costs in relation to these programs that are levied (in full or part) to the squads.  </w:t>
      </w:r>
    </w:p>
    <w:p w14:paraId="4884DB3B" w14:textId="77777777"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If a player is under 18 years of age</w:t>
      </w:r>
      <w:r w:rsidR="0053125B">
        <w:rPr>
          <w:rFonts w:ascii="TimesNewRoman,Bold" w:hAnsi="TimesNewRoman,Bold" w:cs="TimesNewRoman,Bold"/>
          <w:bCs/>
        </w:rPr>
        <w:t>,</w:t>
      </w:r>
      <w:r>
        <w:rPr>
          <w:rFonts w:ascii="TimesNewRoman,Bold" w:hAnsi="TimesNewRoman,Bold" w:cs="TimesNewRoman,Bold"/>
          <w:bCs/>
        </w:rPr>
        <w:t xml:space="preserve"> then their parent (or guardian) is financially responsible for all costs associated with the player’s participation in the program (and </w:t>
      </w:r>
      <w:r w:rsidR="0053125B">
        <w:rPr>
          <w:rFonts w:ascii="TimesNewRoman,Bold" w:hAnsi="TimesNewRoman,Bold" w:cs="TimesNewRoman,Bold"/>
          <w:bCs/>
        </w:rPr>
        <w:t>must</w:t>
      </w:r>
      <w:r>
        <w:rPr>
          <w:rFonts w:ascii="TimesNewRoman,Bold" w:hAnsi="TimesNewRoman,Bold" w:cs="TimesNewRoman,Bold"/>
          <w:bCs/>
        </w:rPr>
        <w:t xml:space="preserve"> sign a form accepting this liability at the beginning of the program). </w:t>
      </w:r>
    </w:p>
    <w:p w14:paraId="2BDB467E" w14:textId="77777777" w:rsidR="00B472C3" w:rsidRDefault="00B472C3" w:rsidP="00B472C3">
      <w:pPr>
        <w:autoSpaceDE w:val="0"/>
        <w:autoSpaceDN w:val="0"/>
        <w:adjustRightInd w:val="0"/>
        <w:rPr>
          <w:rFonts w:ascii="TimesNewRoman,Bold" w:hAnsi="TimesNewRoman,Bold" w:cs="TimesNewRoman,Bold"/>
          <w:bCs/>
        </w:rPr>
      </w:pPr>
    </w:p>
    <w:p w14:paraId="162C245F" w14:textId="77777777" w:rsidR="00B472C3" w:rsidRPr="0064700D" w:rsidRDefault="00B472C3" w:rsidP="0053125B">
      <w:pPr>
        <w:pStyle w:val="Heading2"/>
      </w:pPr>
      <w:r w:rsidRPr="0064700D">
        <w:t>Squads that travel</w:t>
      </w:r>
    </w:p>
    <w:p w14:paraId="367C06C3" w14:textId="41B2E51B"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 xml:space="preserve">In relation to squads that travel outside the State the </w:t>
      </w:r>
      <w:r w:rsidR="00D658E1">
        <w:rPr>
          <w:rFonts w:ascii="TimesNewRoman,Bold" w:hAnsi="TimesNewRoman,Bold" w:cs="TimesNewRoman,Bold"/>
          <w:bCs/>
        </w:rPr>
        <w:t>FFT</w:t>
      </w:r>
      <w:r>
        <w:rPr>
          <w:rFonts w:ascii="TimesNewRoman,Bold" w:hAnsi="TimesNewRoman,Bold" w:cs="TimesNewRoman,Bold"/>
          <w:bCs/>
        </w:rPr>
        <w:t xml:space="preserve"> has a ‘pay before you travel’ policy. All player payments must be completed in full at least 4 weeks prior to date of departure or the player may not be permitted to travel (but may remain responsible for all costs incurred by the </w:t>
      </w:r>
      <w:r w:rsidR="00D658E1">
        <w:rPr>
          <w:rFonts w:ascii="TimesNewRoman,Bold" w:hAnsi="TimesNewRoman,Bold" w:cs="TimesNewRoman,Bold"/>
          <w:bCs/>
        </w:rPr>
        <w:t>FFT</w:t>
      </w:r>
      <w:r>
        <w:rPr>
          <w:rFonts w:ascii="TimesNewRoman,Bold" w:hAnsi="TimesNewRoman,Bold" w:cs="TimesNewRoman,Bold"/>
          <w:bCs/>
        </w:rPr>
        <w:t xml:space="preserve"> in good faith on their behalf).  Generally, invoices will be raised 10 weeks prior to departure and </w:t>
      </w:r>
      <w:r w:rsidR="00B13C6B">
        <w:rPr>
          <w:rFonts w:ascii="TimesNewRoman,Bold" w:hAnsi="TimesNewRoman,Bold" w:cs="TimesNewRoman,Bold"/>
          <w:bCs/>
        </w:rPr>
        <w:t xml:space="preserve">may </w:t>
      </w:r>
      <w:r>
        <w:rPr>
          <w:rFonts w:ascii="TimesNewRoman,Bold" w:hAnsi="TimesNewRoman,Bold" w:cs="TimesNewRoman,Bold"/>
          <w:bCs/>
        </w:rPr>
        <w:t xml:space="preserve">provide for payment by </w:t>
      </w:r>
      <w:r w:rsidR="0053125B">
        <w:rPr>
          <w:rFonts w:ascii="TimesNewRoman,Bold" w:hAnsi="TimesNewRoman,Bold" w:cs="TimesNewRoman,Bold"/>
          <w:bCs/>
        </w:rPr>
        <w:t>installment</w:t>
      </w:r>
      <w:r>
        <w:rPr>
          <w:rFonts w:ascii="TimesNewRoman,Bold" w:hAnsi="TimesNewRoman,Bold" w:cs="TimesNewRoman,Bold"/>
          <w:bCs/>
        </w:rPr>
        <w:t xml:space="preserve">. This will assist </w:t>
      </w:r>
      <w:r w:rsidR="00D658E1">
        <w:rPr>
          <w:rFonts w:ascii="TimesNewRoman,Bold" w:hAnsi="TimesNewRoman,Bold" w:cs="TimesNewRoman,Bold"/>
          <w:bCs/>
        </w:rPr>
        <w:t>FFT</w:t>
      </w:r>
      <w:r>
        <w:rPr>
          <w:rFonts w:ascii="TimesNewRoman,Bold" w:hAnsi="TimesNewRoman,Bold" w:cs="TimesNewRoman,Bold"/>
          <w:bCs/>
        </w:rPr>
        <w:t xml:space="preserve"> cover upfront costs such as deposits on accommodation, flights, etc and also allow follow up with anyone who is experiencing difficulty with paying.</w:t>
      </w:r>
    </w:p>
    <w:p w14:paraId="4F1C2DCC" w14:textId="77777777" w:rsidR="00B472C3" w:rsidRDefault="00B472C3" w:rsidP="00B472C3">
      <w:pPr>
        <w:autoSpaceDE w:val="0"/>
        <w:autoSpaceDN w:val="0"/>
        <w:adjustRightInd w:val="0"/>
        <w:rPr>
          <w:rFonts w:ascii="TimesNewRoman,Bold" w:hAnsi="TimesNewRoman,Bold" w:cs="TimesNewRoman,Bold"/>
          <w:bCs/>
        </w:rPr>
      </w:pPr>
    </w:p>
    <w:p w14:paraId="0715C57A" w14:textId="77777777" w:rsidR="00B472C3" w:rsidRDefault="00B472C3" w:rsidP="0053125B">
      <w:pPr>
        <w:pStyle w:val="Heading2"/>
      </w:pPr>
      <w:r w:rsidRPr="0064700D">
        <w:t>Squads that don’t travel</w:t>
      </w:r>
    </w:p>
    <w:p w14:paraId="69458F0B" w14:textId="656C3F5B"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 xml:space="preserve">Invoices are raised as early in the program as possible, with payment in full completed prior to completion of the program. If the squad is to compete in a regional competition then payment in full must be made prior to the competition or the player may not be eligible to </w:t>
      </w:r>
      <w:r w:rsidR="00D658E1">
        <w:rPr>
          <w:rFonts w:ascii="TimesNewRoman,Bold" w:hAnsi="TimesNewRoman,Bold" w:cs="TimesNewRoman,Bold"/>
          <w:bCs/>
        </w:rPr>
        <w:t>participate</w:t>
      </w:r>
      <w:r>
        <w:rPr>
          <w:rFonts w:ascii="TimesNewRoman,Bold" w:hAnsi="TimesNewRoman,Bold" w:cs="TimesNewRoman,Bold"/>
          <w:bCs/>
        </w:rPr>
        <w:t>.</w:t>
      </w:r>
    </w:p>
    <w:p w14:paraId="2C8D7BE7" w14:textId="77777777" w:rsidR="00B472C3" w:rsidRDefault="00B472C3" w:rsidP="00B472C3">
      <w:pPr>
        <w:autoSpaceDE w:val="0"/>
        <w:autoSpaceDN w:val="0"/>
        <w:adjustRightInd w:val="0"/>
        <w:rPr>
          <w:rFonts w:ascii="TimesNewRoman,Bold" w:hAnsi="TimesNewRoman,Bold" w:cs="TimesNewRoman,Bold"/>
          <w:bCs/>
        </w:rPr>
      </w:pPr>
    </w:p>
    <w:p w14:paraId="4AD71DC4" w14:textId="77777777" w:rsidR="00B472C3" w:rsidRPr="0064700D" w:rsidRDefault="00B472C3" w:rsidP="0053125B">
      <w:pPr>
        <w:pStyle w:val="Heading2"/>
      </w:pPr>
      <w:r w:rsidRPr="0064700D">
        <w:t>Affiliate Association Player Registration Fees</w:t>
      </w:r>
    </w:p>
    <w:p w14:paraId="399DC1AB" w14:textId="74AFF84B" w:rsidR="00B472C3" w:rsidRDefault="00B472C3" w:rsidP="00B472C3">
      <w:pPr>
        <w:autoSpaceDE w:val="0"/>
        <w:autoSpaceDN w:val="0"/>
        <w:adjustRightInd w:val="0"/>
        <w:rPr>
          <w:rFonts w:ascii="TimesNewRoman,Bold" w:hAnsi="TimesNewRoman,Bold" w:cs="TimesNewRoman,Bold"/>
          <w:bCs/>
        </w:rPr>
      </w:pPr>
      <w:r>
        <w:rPr>
          <w:rFonts w:ascii="TimesNewRoman,Bold" w:hAnsi="TimesNewRoman,Bold" w:cs="TimesNewRoman,Bold"/>
          <w:bCs/>
        </w:rPr>
        <w:t xml:space="preserve">Details regarding players registered with affiliate associations are not known in full until FFA’s </w:t>
      </w:r>
      <w:r w:rsidR="00240836">
        <w:rPr>
          <w:rFonts w:ascii="TimesNewRoman,Bold" w:hAnsi="TimesNewRoman,Bold" w:cs="TimesNewRoman,Bold"/>
          <w:bCs/>
        </w:rPr>
        <w:t>annual</w:t>
      </w:r>
      <w:r>
        <w:rPr>
          <w:rFonts w:ascii="TimesNewRoman,Bold" w:hAnsi="TimesNewRoman,Bold" w:cs="TimesNewRoman,Bold"/>
          <w:bCs/>
        </w:rPr>
        <w:t xml:space="preserve"> census is completed. Affiliate associations are invoiced early in the season based on 50% of the number of players registered in the previous year, with the balance invoiced following the </w:t>
      </w:r>
      <w:r w:rsidR="00240836">
        <w:rPr>
          <w:rFonts w:ascii="TimesNewRoman,Bold" w:hAnsi="TimesNewRoman,Bold" w:cs="TimesNewRoman,Bold"/>
          <w:bCs/>
        </w:rPr>
        <w:t>annual</w:t>
      </w:r>
      <w:r>
        <w:rPr>
          <w:rFonts w:ascii="TimesNewRoman,Bold" w:hAnsi="TimesNewRoman,Bold" w:cs="TimesNewRoman,Bold"/>
          <w:bCs/>
        </w:rPr>
        <w:t xml:space="preserve"> census reconciliation.</w:t>
      </w:r>
    </w:p>
    <w:p w14:paraId="741B9250" w14:textId="77777777" w:rsidR="00B13C6B" w:rsidRDefault="00B13C6B" w:rsidP="00B472C3">
      <w:pPr>
        <w:autoSpaceDE w:val="0"/>
        <w:autoSpaceDN w:val="0"/>
        <w:adjustRightInd w:val="0"/>
        <w:rPr>
          <w:rFonts w:ascii="TimesNewRoman,Bold" w:hAnsi="TimesNewRoman,Bold" w:cs="TimesNewRoman,Bold"/>
          <w:bCs/>
        </w:rPr>
      </w:pPr>
    </w:p>
    <w:p w14:paraId="60C8F50E" w14:textId="77777777" w:rsidR="00B472C3" w:rsidRPr="0064700D" w:rsidRDefault="00B472C3" w:rsidP="0053125B">
      <w:pPr>
        <w:pStyle w:val="Heading2"/>
      </w:pPr>
      <w:r w:rsidRPr="0064700D">
        <w:t>Other Activities</w:t>
      </w:r>
    </w:p>
    <w:p w14:paraId="186E0CCE" w14:textId="77777777" w:rsidR="00B472C3" w:rsidRDefault="00B472C3" w:rsidP="00B472C3">
      <w:pPr>
        <w:jc w:val="both"/>
      </w:pPr>
      <w:r>
        <w:t>(</w:t>
      </w:r>
      <w:r w:rsidR="0053125B">
        <w:t>e.g.</w:t>
      </w:r>
      <w:r>
        <w:t xml:space="preserve"> Coach education, soccer shop, futsal, functions, etc)</w:t>
      </w:r>
    </w:p>
    <w:p w14:paraId="50EDF1D5" w14:textId="1DD5529B" w:rsidR="00B472C3" w:rsidRDefault="00D658E1" w:rsidP="00B472C3">
      <w:pPr>
        <w:jc w:val="both"/>
      </w:pPr>
      <w:r>
        <w:t>FFT</w:t>
      </w:r>
      <w:r w:rsidR="00B472C3">
        <w:t>’s general policy applies - ie payment in full on or prior to delivery of service and/or goods.</w:t>
      </w:r>
    </w:p>
    <w:p w14:paraId="53635EA8" w14:textId="77777777" w:rsidR="00B472C3" w:rsidRDefault="00B472C3" w:rsidP="00B472C3">
      <w:pPr>
        <w:jc w:val="both"/>
      </w:pPr>
    </w:p>
    <w:p w14:paraId="26332A8D" w14:textId="77777777" w:rsidR="00B472C3" w:rsidRDefault="00B472C3" w:rsidP="00007F6B">
      <w:pPr>
        <w:pStyle w:val="Heading1"/>
        <w:tabs>
          <w:tab w:val="clear" w:pos="360"/>
          <w:tab w:val="num" w:pos="0"/>
        </w:tabs>
      </w:pPr>
      <w:bookmarkStart w:id="4" w:name="_Toc248746953"/>
      <w:r>
        <w:t>Credit Approval and Determination of Credit Limits:</w:t>
      </w:r>
      <w:bookmarkEnd w:id="4"/>
    </w:p>
    <w:p w14:paraId="13F41CB2" w14:textId="77777777" w:rsidR="00B472C3" w:rsidRDefault="00B472C3" w:rsidP="00B472C3">
      <w:r>
        <w:t xml:space="preserve">The provision of credit to customers is a standard business practice. </w:t>
      </w:r>
      <w:r w:rsidR="00B13C6B">
        <w:t xml:space="preserve">However, it is considered a customer privilege and not an automatic right. </w:t>
      </w:r>
      <w:r>
        <w:t>The conditions under which c</w:t>
      </w:r>
      <w:r w:rsidR="0053125B">
        <w:t>redit can be extended are when:</w:t>
      </w:r>
    </w:p>
    <w:p w14:paraId="16FD985B"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 xml:space="preserve">It is </w:t>
      </w:r>
      <w:r w:rsidR="00B13C6B">
        <w:rPr>
          <w:rFonts w:ascii="TimesNewRoman" w:hAnsi="TimesNewRoman" w:cs="TimesNewRoman"/>
        </w:rPr>
        <w:t xml:space="preserve">consistent with </w:t>
      </w:r>
      <w:r w:rsidRPr="00695D7E">
        <w:rPr>
          <w:rFonts w:ascii="TimesNewRoman" w:hAnsi="TimesNewRoman" w:cs="TimesNewRoman"/>
        </w:rPr>
        <w:t>market practice</w:t>
      </w:r>
      <w:r>
        <w:rPr>
          <w:rFonts w:ascii="TimesNewRoman" w:hAnsi="TimesNewRoman" w:cs="TimesNewRoman"/>
        </w:rPr>
        <w:t>;</w:t>
      </w:r>
    </w:p>
    <w:p w14:paraId="19CA9DAC"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There is an absolute credit limit for each debtor</w:t>
      </w:r>
      <w:r>
        <w:rPr>
          <w:rFonts w:ascii="TimesNewRoman" w:hAnsi="TimesNewRoman" w:cs="TimesNewRoman"/>
        </w:rPr>
        <w:t>;</w:t>
      </w:r>
    </w:p>
    <w:p w14:paraId="0D0F9552"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The debtor agrees to pay the account when due as set out within debtor agreement</w:t>
      </w:r>
      <w:r>
        <w:rPr>
          <w:rFonts w:ascii="TimesNewRoman" w:hAnsi="TimesNewRoman" w:cs="TimesNewRoman"/>
        </w:rPr>
        <w:t>;</w:t>
      </w:r>
    </w:p>
    <w:p w14:paraId="29E0295B"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The debtor provides information that allows for a complete credit assessment</w:t>
      </w:r>
      <w:r>
        <w:rPr>
          <w:rFonts w:ascii="TimesNewRoman" w:hAnsi="TimesNewRoman" w:cs="TimesNewRoman"/>
        </w:rPr>
        <w:t>.</w:t>
      </w:r>
    </w:p>
    <w:p w14:paraId="179F553D" w14:textId="77777777" w:rsidR="00B472C3" w:rsidRPr="00DA5A95" w:rsidRDefault="00B472C3" w:rsidP="00B472C3">
      <w:pPr>
        <w:spacing w:after="120"/>
        <w:jc w:val="both"/>
      </w:pPr>
    </w:p>
    <w:p w14:paraId="5695BC15" w14:textId="77777777" w:rsidR="00B472C3" w:rsidRDefault="00B472C3" w:rsidP="00B472C3">
      <w:r>
        <w:t>Effective credit control is achieved when:</w:t>
      </w:r>
    </w:p>
    <w:p w14:paraId="495D50F0"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There is a clear and executed contract with the debtor that documents the mutual responsibilities including credit terms and implications of non-compliance</w:t>
      </w:r>
      <w:r>
        <w:rPr>
          <w:rFonts w:ascii="TimesNewRoman" w:hAnsi="TimesNewRoman" w:cs="TimesNewRoman"/>
        </w:rPr>
        <w:t>;</w:t>
      </w:r>
    </w:p>
    <w:p w14:paraId="1BF6E2D4"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Invoices are produced promptly</w:t>
      </w:r>
      <w:r>
        <w:rPr>
          <w:rFonts w:ascii="TimesNewRoman" w:hAnsi="TimesNewRoman" w:cs="TimesNewRoman"/>
        </w:rPr>
        <w:t>;</w:t>
      </w:r>
    </w:p>
    <w:p w14:paraId="6968981C"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Debtors’ queries are dealt with expeditiously; monthly debtor statements are issued with appropriate payment requirement notated, based on age of debts</w:t>
      </w:r>
      <w:r>
        <w:rPr>
          <w:rFonts w:ascii="TimesNewRoman" w:hAnsi="TimesNewRoman" w:cs="TimesNewRoman"/>
        </w:rPr>
        <w:t>;</w:t>
      </w:r>
    </w:p>
    <w:p w14:paraId="6CA053BE"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Appropriate and timely follow up action is taken on overdue debts</w:t>
      </w:r>
      <w:r>
        <w:rPr>
          <w:rFonts w:ascii="TimesNewRoman" w:hAnsi="TimesNewRoman" w:cs="TimesNewRoman"/>
        </w:rPr>
        <w:t>.</w:t>
      </w:r>
    </w:p>
    <w:p w14:paraId="5DB99D9A" w14:textId="77777777" w:rsidR="00B472C3" w:rsidRPr="00DA5A95" w:rsidRDefault="00B472C3" w:rsidP="00B472C3">
      <w:pPr>
        <w:spacing w:after="120"/>
        <w:jc w:val="both"/>
      </w:pPr>
    </w:p>
    <w:p w14:paraId="34E00745" w14:textId="77777777" w:rsidR="00B472C3" w:rsidRPr="00C92E27" w:rsidRDefault="00B472C3" w:rsidP="00B472C3">
      <w:r>
        <w:t>The CEO is responsible for the assessment of each credit request, which will be based on:</w:t>
      </w:r>
    </w:p>
    <w:p w14:paraId="1183B23E"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Previous track record which indicates reliable purchase and payment habits</w:t>
      </w:r>
      <w:r>
        <w:rPr>
          <w:rFonts w:ascii="TimesNewRoman" w:hAnsi="TimesNewRoman" w:cs="TimesNewRoman"/>
        </w:rPr>
        <w:t>;</w:t>
      </w:r>
    </w:p>
    <w:p w14:paraId="0459B5A4" w14:textId="77777777" w:rsidR="00B472C3" w:rsidRPr="00695D7E" w:rsidRDefault="00B472C3" w:rsidP="00B472C3">
      <w:pPr>
        <w:numPr>
          <w:ilvl w:val="0"/>
          <w:numId w:val="22"/>
        </w:numPr>
        <w:autoSpaceDE w:val="0"/>
        <w:autoSpaceDN w:val="0"/>
        <w:adjustRightInd w:val="0"/>
        <w:rPr>
          <w:rFonts w:ascii="TimesNewRoman" w:hAnsi="TimesNewRoman" w:cs="TimesNewRoman"/>
        </w:rPr>
      </w:pPr>
      <w:r>
        <w:rPr>
          <w:rFonts w:ascii="TimesNewRoman" w:hAnsi="TimesNewRoman" w:cs="TimesNewRoman"/>
        </w:rPr>
        <w:t>Evidence of sound</w:t>
      </w:r>
      <w:r w:rsidRPr="00695D7E">
        <w:rPr>
          <w:rFonts w:ascii="TimesNewRoman" w:hAnsi="TimesNewRoman" w:cs="TimesNewRoman"/>
        </w:rPr>
        <w:t xml:space="preserve"> financial position</w:t>
      </w:r>
      <w:r>
        <w:rPr>
          <w:rFonts w:ascii="TimesNewRoman" w:hAnsi="TimesNewRoman" w:cs="TimesNewRoman"/>
        </w:rPr>
        <w:t>;</w:t>
      </w:r>
    </w:p>
    <w:p w14:paraId="009A0224" w14:textId="77777777" w:rsidR="00B472C3" w:rsidRPr="00695D7E" w:rsidRDefault="00B472C3" w:rsidP="00B472C3">
      <w:pPr>
        <w:numPr>
          <w:ilvl w:val="0"/>
          <w:numId w:val="22"/>
        </w:numPr>
        <w:autoSpaceDE w:val="0"/>
        <w:autoSpaceDN w:val="0"/>
        <w:adjustRightInd w:val="0"/>
        <w:rPr>
          <w:rFonts w:ascii="TimesNewRoman" w:hAnsi="TimesNewRoman" w:cs="TimesNewRoman"/>
        </w:rPr>
      </w:pPr>
      <w:r w:rsidRPr="00695D7E">
        <w:rPr>
          <w:rFonts w:ascii="TimesNewRoman" w:hAnsi="TimesNewRoman" w:cs="TimesNewRoman"/>
        </w:rPr>
        <w:t xml:space="preserve">Credible </w:t>
      </w:r>
      <w:r w:rsidR="0053125B" w:rsidRPr="00695D7E">
        <w:rPr>
          <w:rFonts w:ascii="TimesNewRoman" w:hAnsi="TimesNewRoman" w:cs="TimesNewRoman"/>
        </w:rPr>
        <w:t>background checks</w:t>
      </w:r>
      <w:r w:rsidRPr="00695D7E">
        <w:rPr>
          <w:rFonts w:ascii="TimesNewRoman" w:hAnsi="TimesNewRoman" w:cs="TimesNewRoman"/>
        </w:rPr>
        <w:t xml:space="preserve"> (</w:t>
      </w:r>
      <w:r w:rsidR="0053125B">
        <w:rPr>
          <w:rFonts w:ascii="TimesNewRoman" w:hAnsi="TimesNewRoman" w:cs="TimesNewRoman"/>
        </w:rPr>
        <w:t>e.g.</w:t>
      </w:r>
      <w:r w:rsidRPr="00695D7E">
        <w:rPr>
          <w:rFonts w:ascii="TimesNewRoman" w:hAnsi="TimesNewRoman" w:cs="TimesNewRoman"/>
        </w:rPr>
        <w:t xml:space="preserve"> trade / bank reference checks)</w:t>
      </w:r>
      <w:r>
        <w:rPr>
          <w:rFonts w:ascii="TimesNewRoman" w:hAnsi="TimesNewRoman" w:cs="TimesNewRoman"/>
        </w:rPr>
        <w:t>.</w:t>
      </w:r>
    </w:p>
    <w:p w14:paraId="2F50BCFA" w14:textId="77777777" w:rsidR="00B472C3" w:rsidRDefault="00B472C3" w:rsidP="00B472C3">
      <w:pPr>
        <w:jc w:val="both"/>
      </w:pPr>
    </w:p>
    <w:p w14:paraId="476E8881" w14:textId="77777777" w:rsidR="00B472C3" w:rsidRDefault="00B472C3" w:rsidP="00B472C3">
      <w:pPr>
        <w:jc w:val="both"/>
      </w:pPr>
      <w:r>
        <w:t>Credit Limits are:</w:t>
      </w:r>
    </w:p>
    <w:p w14:paraId="76779F5B" w14:textId="77777777" w:rsidR="00B472C3" w:rsidRDefault="00B472C3" w:rsidP="00B472C3">
      <w:pPr>
        <w:tabs>
          <w:tab w:val="right" w:pos="4820"/>
        </w:tabs>
        <w:ind w:firstLine="426"/>
        <w:jc w:val="both"/>
      </w:pPr>
      <w:r>
        <w:t>Club (FFT member)</w:t>
      </w:r>
      <w:r>
        <w:tab/>
        <w:t>$10,000</w:t>
      </w:r>
    </w:p>
    <w:p w14:paraId="66294A29" w14:textId="77777777" w:rsidR="00B472C3" w:rsidRDefault="00B472C3" w:rsidP="00B472C3">
      <w:pPr>
        <w:tabs>
          <w:tab w:val="right" w:pos="4820"/>
        </w:tabs>
        <w:ind w:firstLine="426"/>
        <w:jc w:val="both"/>
      </w:pPr>
      <w:r>
        <w:t>Club (FFT non-member)</w:t>
      </w:r>
      <w:r>
        <w:tab/>
        <w:t>$5,000</w:t>
      </w:r>
    </w:p>
    <w:p w14:paraId="590EFA82" w14:textId="63C6B331" w:rsidR="00B472C3" w:rsidRDefault="00B472C3" w:rsidP="00B472C3">
      <w:pPr>
        <w:tabs>
          <w:tab w:val="right" w:pos="4820"/>
        </w:tabs>
        <w:ind w:firstLine="426"/>
        <w:jc w:val="both"/>
      </w:pPr>
      <w:r>
        <w:t>Individual or other party</w:t>
      </w:r>
      <w:r>
        <w:tab/>
        <w:t>$</w:t>
      </w:r>
      <w:r w:rsidR="00240836">
        <w:t>3</w:t>
      </w:r>
      <w:r>
        <w:t>,000</w:t>
      </w:r>
    </w:p>
    <w:p w14:paraId="2EAD317B" w14:textId="77777777" w:rsidR="00B472C3" w:rsidRDefault="00B472C3" w:rsidP="00B472C3">
      <w:pPr>
        <w:tabs>
          <w:tab w:val="right" w:pos="4820"/>
        </w:tabs>
        <w:ind w:firstLine="426"/>
        <w:jc w:val="both"/>
      </w:pPr>
    </w:p>
    <w:p w14:paraId="455016DF" w14:textId="77777777" w:rsidR="00B472C3" w:rsidRDefault="00B472C3" w:rsidP="00B13C6B">
      <w:pPr>
        <w:tabs>
          <w:tab w:val="right" w:pos="4820"/>
        </w:tabs>
        <w:jc w:val="both"/>
      </w:pPr>
      <w:r>
        <w:t>Exceptional circumstances or amendment to these credit limits requires the approval of the Finance Director (on behalf of the Finance Committee) or Pres</w:t>
      </w:r>
      <w:r w:rsidR="00B13C6B">
        <w:t>ident (on behalf of the Board).</w:t>
      </w:r>
    </w:p>
    <w:p w14:paraId="2C8A4506" w14:textId="7529C41C" w:rsidR="00B13C6B" w:rsidRDefault="00B472C3" w:rsidP="00B472C3">
      <w:pPr>
        <w:jc w:val="both"/>
      </w:pPr>
      <w:r>
        <w:t xml:space="preserve">If credit is approved, terms must not be more than </w:t>
      </w:r>
      <w:r w:rsidR="00240836">
        <w:t>3</w:t>
      </w:r>
      <w:r>
        <w:t>0 days</w:t>
      </w:r>
      <w:r w:rsidR="00240836">
        <w:t xml:space="preserve"> from date of invoice</w:t>
      </w:r>
      <w:r>
        <w:t xml:space="preserve"> or to 31 October (ie end of current financial year), whichever is earlier.</w:t>
      </w:r>
      <w:r w:rsidR="00B13C6B">
        <w:t xml:space="preserve"> </w:t>
      </w:r>
    </w:p>
    <w:p w14:paraId="4F86D31E" w14:textId="7E8F2479" w:rsidR="00B472C3" w:rsidRDefault="00B472C3" w:rsidP="00B472C3">
      <w:pPr>
        <w:jc w:val="both"/>
      </w:pPr>
    </w:p>
    <w:p w14:paraId="54773CD4" w14:textId="7D65690E" w:rsidR="00D762A7" w:rsidRDefault="00D762A7" w:rsidP="00B472C3">
      <w:pPr>
        <w:jc w:val="both"/>
      </w:pPr>
    </w:p>
    <w:p w14:paraId="367C2856" w14:textId="5C774B6A" w:rsidR="00D762A7" w:rsidRDefault="00D762A7" w:rsidP="00B472C3">
      <w:pPr>
        <w:jc w:val="both"/>
      </w:pPr>
    </w:p>
    <w:p w14:paraId="67951066" w14:textId="77777777" w:rsidR="00D762A7" w:rsidRDefault="00D762A7" w:rsidP="00B472C3">
      <w:pPr>
        <w:jc w:val="both"/>
      </w:pPr>
    </w:p>
    <w:p w14:paraId="025DFADF" w14:textId="77777777" w:rsidR="00007F6B" w:rsidRDefault="00007F6B" w:rsidP="00007F6B">
      <w:pPr>
        <w:pStyle w:val="Heading1"/>
        <w:tabs>
          <w:tab w:val="clear" w:pos="360"/>
          <w:tab w:val="num" w:pos="0"/>
        </w:tabs>
        <w:ind w:left="0" w:firstLine="0"/>
      </w:pPr>
      <w:bookmarkStart w:id="5" w:name="_Toc248746954"/>
      <w:r>
        <w:lastRenderedPageBreak/>
        <w:t>Late Payment Penalties</w:t>
      </w:r>
      <w:bookmarkEnd w:id="5"/>
    </w:p>
    <w:p w14:paraId="6A6DEFBC" w14:textId="40872BAB" w:rsidR="00007F6B" w:rsidRDefault="00007F6B" w:rsidP="00007F6B">
      <w:pPr>
        <w:spacing w:after="120"/>
        <w:jc w:val="both"/>
      </w:pPr>
      <w:r w:rsidRPr="00C92E27">
        <w:t>All accounts that are 60 days or more overdue</w:t>
      </w:r>
      <w:r w:rsidR="00240836">
        <w:t xml:space="preserve"> (from date of invoice)</w:t>
      </w:r>
      <w:r w:rsidRPr="00C92E27">
        <w:t xml:space="preserve"> shall incur an interest charge of 10% per annum.</w:t>
      </w:r>
      <w:r>
        <w:t xml:space="preserve"> </w:t>
      </w:r>
    </w:p>
    <w:p w14:paraId="1692FE61" w14:textId="7C346274" w:rsidR="00B472C3" w:rsidRDefault="00240836" w:rsidP="00A814B4">
      <w:pPr>
        <w:spacing w:after="120"/>
        <w:jc w:val="both"/>
      </w:pPr>
      <w:r>
        <w:t>For</w:t>
      </w:r>
      <w:r w:rsidR="00007F6B" w:rsidRPr="004462AB">
        <w:t xml:space="preserve"> </w:t>
      </w:r>
      <w:r w:rsidR="00007F6B">
        <w:t xml:space="preserve">a </w:t>
      </w:r>
      <w:r w:rsidR="00D762A7">
        <w:t>c</w:t>
      </w:r>
      <w:r w:rsidR="00007F6B">
        <w:t>lub</w:t>
      </w:r>
      <w:r w:rsidR="00D762A7">
        <w:t>, once it</w:t>
      </w:r>
      <w:r w:rsidR="00007F6B" w:rsidRPr="004462AB">
        <w:t xml:space="preserve"> reach</w:t>
      </w:r>
      <w:r w:rsidR="00007F6B">
        <w:t>es</w:t>
      </w:r>
      <w:r w:rsidR="00007F6B" w:rsidRPr="004462AB">
        <w:t xml:space="preserve"> 90</w:t>
      </w:r>
      <w:r w:rsidR="00007F6B">
        <w:t xml:space="preserve"> days</w:t>
      </w:r>
      <w:r w:rsidR="00007F6B" w:rsidRPr="004462AB">
        <w:t xml:space="preserve"> overdue</w:t>
      </w:r>
      <w:r>
        <w:t xml:space="preserve"> (from date of invoice)</w:t>
      </w:r>
      <w:r w:rsidR="00007F6B" w:rsidRPr="004462AB">
        <w:t xml:space="preserve">, </w:t>
      </w:r>
      <w:r w:rsidR="00596A29" w:rsidRPr="00612036">
        <w:t>it</w:t>
      </w:r>
      <w:r w:rsidR="00D762A7">
        <w:t xml:space="preserve"> will</w:t>
      </w:r>
      <w:r w:rsidR="00007F6B" w:rsidRPr="004462AB">
        <w:t xml:space="preserve"> cease to gain any competition points</w:t>
      </w:r>
      <w:r w:rsidR="00007F6B">
        <w:t xml:space="preserve"> for all teams</w:t>
      </w:r>
      <w:r w:rsidR="00007F6B" w:rsidRPr="004462AB">
        <w:t xml:space="preserve"> until that debt is paid.</w:t>
      </w:r>
      <w:r w:rsidR="00007F6B">
        <w:t xml:space="preserve"> </w:t>
      </w:r>
    </w:p>
    <w:p w14:paraId="20359C1E" w14:textId="77777777" w:rsidR="00B13C6B" w:rsidRDefault="00B13C6B" w:rsidP="00A814B4">
      <w:pPr>
        <w:spacing w:after="120"/>
        <w:jc w:val="both"/>
      </w:pPr>
    </w:p>
    <w:p w14:paraId="4220827E" w14:textId="5AD37DD4" w:rsidR="001C00A7" w:rsidRPr="001C00A7" w:rsidRDefault="00B472C3" w:rsidP="001C00A7">
      <w:r>
        <w:t xml:space="preserve">Approved </w:t>
      </w:r>
      <w:proofErr w:type="gramStart"/>
      <w:r>
        <w:t>by :</w:t>
      </w:r>
      <w:proofErr w:type="gramEnd"/>
      <w:r>
        <w:tab/>
      </w:r>
      <w:r w:rsidR="00D762A7">
        <w:t>Board</w:t>
      </w:r>
      <w:r>
        <w:tab/>
      </w:r>
      <w:r w:rsidR="00D762A7">
        <w:tab/>
      </w:r>
      <w:r>
        <w:t>Dated:</w:t>
      </w:r>
      <w:r w:rsidR="00A814B4">
        <w:t xml:space="preserve"> </w:t>
      </w:r>
      <w:r w:rsidR="00777DDF">
        <w:t xml:space="preserve">  </w:t>
      </w:r>
      <w:r w:rsidR="00D762A7">
        <w:t>February</w:t>
      </w:r>
      <w:r w:rsidR="00777DDF">
        <w:t xml:space="preserve"> </w:t>
      </w:r>
      <w:r w:rsidR="00D762A7">
        <w:t>2020</w:t>
      </w:r>
    </w:p>
    <w:sectPr w:rsidR="001C00A7" w:rsidRPr="001C00A7" w:rsidSect="00007F6B">
      <w:footerReference w:type="default" r:id="rId9"/>
      <w:pgSz w:w="11909" w:h="16834" w:code="9"/>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6E35" w14:textId="77777777" w:rsidR="00CD6B02" w:rsidRDefault="00CD6B02" w:rsidP="00EB6399">
      <w:r>
        <w:separator/>
      </w:r>
    </w:p>
  </w:endnote>
  <w:endnote w:type="continuationSeparator" w:id="0">
    <w:p w14:paraId="696E5BB5" w14:textId="77777777" w:rsidR="00CD6B02" w:rsidRDefault="00CD6B02" w:rsidP="00EB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3EDA" w14:textId="77777777" w:rsidR="00596A29" w:rsidRDefault="00596A29" w:rsidP="00007F6B">
    <w:pPr>
      <w:pStyle w:val="Footer"/>
      <w:tabs>
        <w:tab w:val="clear" w:pos="4153"/>
        <w:tab w:val="center" w:pos="7797"/>
      </w:tabs>
      <w:jc w:val="center"/>
      <w:rPr>
        <w:rFonts w:ascii="Arial" w:hAnsi="Arial"/>
        <w:sz w:val="20"/>
      </w:rPr>
    </w:pPr>
    <w:r>
      <w:rPr>
        <w:rFonts w:ascii="Arial" w:hAnsi="Arial"/>
        <w:snapToGrid w:val="0"/>
        <w:sz w:val="20"/>
        <w:lang w:eastAsia="en-US"/>
      </w:rPr>
      <w:tab/>
      <w:t xml:space="preserve">Page </w:t>
    </w:r>
    <w:r>
      <w:rPr>
        <w:rFonts w:ascii="Arial" w:hAnsi="Arial"/>
        <w:snapToGrid w:val="0"/>
        <w:sz w:val="20"/>
        <w:lang w:eastAsia="en-US"/>
      </w:rPr>
      <w:fldChar w:fldCharType="begin"/>
    </w:r>
    <w:r>
      <w:rPr>
        <w:rFonts w:ascii="Arial" w:hAnsi="Arial"/>
        <w:snapToGrid w:val="0"/>
        <w:sz w:val="20"/>
        <w:lang w:eastAsia="en-US"/>
      </w:rPr>
      <w:instrText xml:space="preserve"> PAGE </w:instrText>
    </w:r>
    <w:r>
      <w:rPr>
        <w:rFonts w:ascii="Arial" w:hAnsi="Arial"/>
        <w:snapToGrid w:val="0"/>
        <w:sz w:val="20"/>
        <w:lang w:eastAsia="en-US"/>
      </w:rPr>
      <w:fldChar w:fldCharType="separate"/>
    </w:r>
    <w:r>
      <w:rPr>
        <w:rFonts w:ascii="Arial" w:hAnsi="Arial"/>
        <w:noProof/>
        <w:snapToGrid w:val="0"/>
        <w:sz w:val="20"/>
        <w:lang w:eastAsia="en-US"/>
      </w:rPr>
      <w:t>1</w:t>
    </w:r>
    <w:r>
      <w:rPr>
        <w:rFonts w:ascii="Arial" w:hAnsi="Arial"/>
        <w:snapToGrid w:val="0"/>
        <w:sz w:val="20"/>
        <w:lang w:eastAsia="en-US"/>
      </w:rPr>
      <w:fldChar w:fldCharType="end"/>
    </w:r>
    <w:r>
      <w:rPr>
        <w:rFonts w:ascii="Arial" w:hAnsi="Arial"/>
        <w:snapToGrid w:val="0"/>
        <w:sz w:val="20"/>
        <w:lang w:eastAsia="en-US"/>
      </w:rPr>
      <w:t xml:space="preserve"> of </w:t>
    </w:r>
    <w:r>
      <w:rPr>
        <w:rFonts w:ascii="Arial" w:hAnsi="Arial"/>
        <w:snapToGrid w:val="0"/>
        <w:sz w:val="20"/>
        <w:lang w:eastAsia="en-US"/>
      </w:rPr>
      <w:fldChar w:fldCharType="begin"/>
    </w:r>
    <w:r>
      <w:rPr>
        <w:rFonts w:ascii="Arial" w:hAnsi="Arial"/>
        <w:snapToGrid w:val="0"/>
        <w:sz w:val="20"/>
        <w:lang w:eastAsia="en-US"/>
      </w:rPr>
      <w:instrText xml:space="preserve"> NUMPAGES </w:instrText>
    </w:r>
    <w:r>
      <w:rPr>
        <w:rFonts w:ascii="Arial" w:hAnsi="Arial"/>
        <w:snapToGrid w:val="0"/>
        <w:sz w:val="20"/>
        <w:lang w:eastAsia="en-US"/>
      </w:rPr>
      <w:fldChar w:fldCharType="separate"/>
    </w:r>
    <w:r>
      <w:rPr>
        <w:rFonts w:ascii="Arial" w:hAnsi="Arial"/>
        <w:noProof/>
        <w:snapToGrid w:val="0"/>
        <w:sz w:val="20"/>
        <w:lang w:eastAsia="en-US"/>
      </w:rPr>
      <w:t>5</w:t>
    </w:r>
    <w:r>
      <w:rPr>
        <w:rFonts w:ascii="Arial" w:hAnsi="Arial"/>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A355" w14:textId="77777777" w:rsidR="00CD6B02" w:rsidRDefault="00CD6B02" w:rsidP="00EB6399">
      <w:r>
        <w:separator/>
      </w:r>
    </w:p>
  </w:footnote>
  <w:footnote w:type="continuationSeparator" w:id="0">
    <w:p w14:paraId="3E083AA1" w14:textId="77777777" w:rsidR="00CD6B02" w:rsidRDefault="00CD6B02" w:rsidP="00EB6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F3B"/>
    <w:multiLevelType w:val="hybridMultilevel"/>
    <w:tmpl w:val="1C0E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58BA"/>
    <w:multiLevelType w:val="multilevel"/>
    <w:tmpl w:val="3A7278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621FE"/>
    <w:multiLevelType w:val="hybridMultilevel"/>
    <w:tmpl w:val="981E495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99F21AC"/>
    <w:multiLevelType w:val="singleLevel"/>
    <w:tmpl w:val="DA162D10"/>
    <w:lvl w:ilvl="0">
      <w:start w:val="1"/>
      <w:numFmt w:val="lowerLetter"/>
      <w:lvlText w:val="(%1)"/>
      <w:lvlJc w:val="left"/>
      <w:pPr>
        <w:tabs>
          <w:tab w:val="num" w:pos="1069"/>
        </w:tabs>
        <w:ind w:left="1069" w:hanging="360"/>
      </w:pPr>
      <w:rPr>
        <w:rFonts w:hint="default"/>
      </w:rPr>
    </w:lvl>
  </w:abstractNum>
  <w:abstractNum w:abstractNumId="4" w15:restartNumberingAfterBreak="0">
    <w:nsid w:val="1CC73349"/>
    <w:multiLevelType w:val="hybridMultilevel"/>
    <w:tmpl w:val="61B83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CE53B1"/>
    <w:multiLevelType w:val="hybridMultilevel"/>
    <w:tmpl w:val="2194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76EB7"/>
    <w:multiLevelType w:val="multilevel"/>
    <w:tmpl w:val="A216C634"/>
    <w:lvl w:ilvl="0">
      <w:start w:val="5"/>
      <w:numFmt w:val="decimal"/>
      <w:pStyle w:val="Heading1"/>
      <w:lvlText w:val="%1."/>
      <w:lvlJc w:val="left"/>
      <w:pPr>
        <w:tabs>
          <w:tab w:val="num" w:pos="360"/>
        </w:tabs>
        <w:ind w:left="360" w:hanging="360"/>
      </w:pPr>
      <w:rPr>
        <w:rFonts w:hint="default"/>
      </w:rPr>
    </w:lvl>
    <w:lvl w:ilvl="1">
      <w:start w:val="1"/>
      <w:numFmt w:val="decimal"/>
      <w:pStyle w:val="Heading2notoc"/>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E4E15FB"/>
    <w:multiLevelType w:val="multilevel"/>
    <w:tmpl w:val="FDA8C6C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6C6FC8"/>
    <w:multiLevelType w:val="multilevel"/>
    <w:tmpl w:val="448C1A46"/>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1285"/>
        </w:tabs>
        <w:ind w:left="1285"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6284EEC"/>
    <w:multiLevelType w:val="multilevel"/>
    <w:tmpl w:val="F37ED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DF47F67"/>
    <w:multiLevelType w:val="hybridMultilevel"/>
    <w:tmpl w:val="E5B87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AC1AC7"/>
    <w:multiLevelType w:val="hybridMultilevel"/>
    <w:tmpl w:val="D826D776"/>
    <w:lvl w:ilvl="0" w:tplc="EE6415C4">
      <w:start w:val="1"/>
      <w:numFmt w:val="decimal"/>
      <w:lvlText w:val="%1"/>
      <w:lvlJc w:val="left"/>
      <w:pPr>
        <w:ind w:left="1429"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4A3061E3"/>
    <w:multiLevelType w:val="singleLevel"/>
    <w:tmpl w:val="1190FF12"/>
    <w:lvl w:ilvl="0">
      <w:start w:val="1"/>
      <w:numFmt w:val="lowerLetter"/>
      <w:lvlText w:val="(%1)"/>
      <w:lvlJc w:val="left"/>
      <w:pPr>
        <w:tabs>
          <w:tab w:val="num" w:pos="936"/>
        </w:tabs>
        <w:ind w:left="936" w:hanging="360"/>
      </w:pPr>
      <w:rPr>
        <w:rFonts w:hint="default"/>
      </w:rPr>
    </w:lvl>
  </w:abstractNum>
  <w:abstractNum w:abstractNumId="13" w15:restartNumberingAfterBreak="0">
    <w:nsid w:val="5B7573B9"/>
    <w:multiLevelType w:val="hybridMultilevel"/>
    <w:tmpl w:val="2CC841D4"/>
    <w:lvl w:ilvl="0" w:tplc="52FCE6C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DA74BD"/>
    <w:multiLevelType w:val="hybridMultilevel"/>
    <w:tmpl w:val="6EFA050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27FEB2CA">
      <w:start w:val="8"/>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C9A2D4B"/>
    <w:multiLevelType w:val="hybridMultilevel"/>
    <w:tmpl w:val="AB00A320"/>
    <w:lvl w:ilvl="0" w:tplc="898C5718">
      <w:start w:val="1"/>
      <w:numFmt w:val="decimal"/>
      <w:lvlText w:val="%1"/>
      <w:lvlJc w:val="left"/>
      <w:pPr>
        <w:ind w:left="1429"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6D017F30"/>
    <w:multiLevelType w:val="hybridMultilevel"/>
    <w:tmpl w:val="5FEC36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0F64FCA"/>
    <w:multiLevelType w:val="multilevel"/>
    <w:tmpl w:val="59EC2E7A"/>
    <w:lvl w:ilvl="0">
      <w:start w:val="5"/>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BF0BB1"/>
    <w:multiLevelType w:val="hybridMultilevel"/>
    <w:tmpl w:val="91C6D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D11BDE"/>
    <w:multiLevelType w:val="hybridMultilevel"/>
    <w:tmpl w:val="7FCE9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7E6BD2"/>
    <w:multiLevelType w:val="hybridMultilevel"/>
    <w:tmpl w:val="4332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322681">
    <w:abstractNumId w:val="8"/>
  </w:num>
  <w:num w:numId="2" w16cid:durableId="1088691983">
    <w:abstractNumId w:val="6"/>
  </w:num>
  <w:num w:numId="3" w16cid:durableId="2100365732">
    <w:abstractNumId w:val="12"/>
  </w:num>
  <w:num w:numId="4" w16cid:durableId="235480560">
    <w:abstractNumId w:val="17"/>
  </w:num>
  <w:num w:numId="5" w16cid:durableId="805246711">
    <w:abstractNumId w:val="3"/>
  </w:num>
  <w:num w:numId="6" w16cid:durableId="1016418260">
    <w:abstractNumId w:val="5"/>
  </w:num>
  <w:num w:numId="7" w16cid:durableId="2113670163">
    <w:abstractNumId w:val="4"/>
  </w:num>
  <w:num w:numId="8" w16cid:durableId="472334650">
    <w:abstractNumId w:val="19"/>
  </w:num>
  <w:num w:numId="9" w16cid:durableId="1529679810">
    <w:abstractNumId w:val="2"/>
  </w:num>
  <w:num w:numId="10" w16cid:durableId="859856947">
    <w:abstractNumId w:val="16"/>
  </w:num>
  <w:num w:numId="11" w16cid:durableId="1712874160">
    <w:abstractNumId w:val="0"/>
  </w:num>
  <w:num w:numId="12" w16cid:durableId="59638361">
    <w:abstractNumId w:val="20"/>
  </w:num>
  <w:num w:numId="13" w16cid:durableId="93353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421077">
    <w:abstractNumId w:val="13"/>
  </w:num>
  <w:num w:numId="15" w16cid:durableId="1626279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5952701">
    <w:abstractNumId w:val="15"/>
  </w:num>
  <w:num w:numId="17" w16cid:durableId="1380931583">
    <w:abstractNumId w:val="11"/>
  </w:num>
  <w:num w:numId="18" w16cid:durableId="906306866">
    <w:abstractNumId w:val="9"/>
  </w:num>
  <w:num w:numId="19" w16cid:durableId="1896891240">
    <w:abstractNumId w:val="10"/>
  </w:num>
  <w:num w:numId="20" w16cid:durableId="1811291339">
    <w:abstractNumId w:val="14"/>
  </w:num>
  <w:num w:numId="21" w16cid:durableId="436490815">
    <w:abstractNumId w:val="14"/>
    <w:lvlOverride w:ilvl="0">
      <w:startOverride w:val="6"/>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3422055">
    <w:abstractNumId w:val="18"/>
  </w:num>
  <w:num w:numId="23" w16cid:durableId="29236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E2"/>
    <w:rsid w:val="00007F6B"/>
    <w:rsid w:val="00010D44"/>
    <w:rsid w:val="000238E7"/>
    <w:rsid w:val="00041830"/>
    <w:rsid w:val="000504E2"/>
    <w:rsid w:val="000B1FFA"/>
    <w:rsid w:val="000D3ED7"/>
    <w:rsid w:val="001568F2"/>
    <w:rsid w:val="001A616E"/>
    <w:rsid w:val="001C00A7"/>
    <w:rsid w:val="001C0866"/>
    <w:rsid w:val="001C559A"/>
    <w:rsid w:val="00217059"/>
    <w:rsid w:val="00240836"/>
    <w:rsid w:val="00273CFA"/>
    <w:rsid w:val="00296E87"/>
    <w:rsid w:val="002D03CC"/>
    <w:rsid w:val="00303029"/>
    <w:rsid w:val="003843B4"/>
    <w:rsid w:val="003A6945"/>
    <w:rsid w:val="004038E5"/>
    <w:rsid w:val="00451E8E"/>
    <w:rsid w:val="0047622E"/>
    <w:rsid w:val="00487543"/>
    <w:rsid w:val="00491B63"/>
    <w:rsid w:val="004B6A21"/>
    <w:rsid w:val="004D0059"/>
    <w:rsid w:val="004E1720"/>
    <w:rsid w:val="0053125B"/>
    <w:rsid w:val="00553025"/>
    <w:rsid w:val="005736DE"/>
    <w:rsid w:val="00584DA4"/>
    <w:rsid w:val="00596A29"/>
    <w:rsid w:val="005B2256"/>
    <w:rsid w:val="005B653C"/>
    <w:rsid w:val="005C2F19"/>
    <w:rsid w:val="00612036"/>
    <w:rsid w:val="00616F0E"/>
    <w:rsid w:val="006417BB"/>
    <w:rsid w:val="00650ED8"/>
    <w:rsid w:val="006B5D2C"/>
    <w:rsid w:val="006C5F94"/>
    <w:rsid w:val="00701A3B"/>
    <w:rsid w:val="00712497"/>
    <w:rsid w:val="00731F85"/>
    <w:rsid w:val="0076652F"/>
    <w:rsid w:val="00777DDF"/>
    <w:rsid w:val="00784184"/>
    <w:rsid w:val="007D2990"/>
    <w:rsid w:val="007E780D"/>
    <w:rsid w:val="00800476"/>
    <w:rsid w:val="00815FFE"/>
    <w:rsid w:val="008A053B"/>
    <w:rsid w:val="008D6703"/>
    <w:rsid w:val="008F2DCE"/>
    <w:rsid w:val="00907198"/>
    <w:rsid w:val="00916D6E"/>
    <w:rsid w:val="00923383"/>
    <w:rsid w:val="0092465C"/>
    <w:rsid w:val="00956E55"/>
    <w:rsid w:val="00975E73"/>
    <w:rsid w:val="00991941"/>
    <w:rsid w:val="009C2C46"/>
    <w:rsid w:val="009F5A86"/>
    <w:rsid w:val="00A15A0D"/>
    <w:rsid w:val="00A80804"/>
    <w:rsid w:val="00A814B4"/>
    <w:rsid w:val="00AD03FE"/>
    <w:rsid w:val="00B13BBE"/>
    <w:rsid w:val="00B13C6B"/>
    <w:rsid w:val="00B472C3"/>
    <w:rsid w:val="00B8451F"/>
    <w:rsid w:val="00BB64F8"/>
    <w:rsid w:val="00BC7E8D"/>
    <w:rsid w:val="00C01D8E"/>
    <w:rsid w:val="00C801A6"/>
    <w:rsid w:val="00CA1B85"/>
    <w:rsid w:val="00CA2991"/>
    <w:rsid w:val="00CD6B02"/>
    <w:rsid w:val="00D47A65"/>
    <w:rsid w:val="00D63296"/>
    <w:rsid w:val="00D658E1"/>
    <w:rsid w:val="00D762A7"/>
    <w:rsid w:val="00D84B46"/>
    <w:rsid w:val="00D97A8F"/>
    <w:rsid w:val="00E17AA0"/>
    <w:rsid w:val="00E24481"/>
    <w:rsid w:val="00E52ECE"/>
    <w:rsid w:val="00EB6399"/>
    <w:rsid w:val="00EB7857"/>
    <w:rsid w:val="00EE103F"/>
    <w:rsid w:val="00F46BCA"/>
    <w:rsid w:val="00F96904"/>
    <w:rsid w:val="00FA1FBC"/>
    <w:rsid w:val="00FB6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E346"/>
  <w15:chartTrackingRefBased/>
  <w15:docId w15:val="{E545350B-AD79-4FDB-96F8-B086BACA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E2"/>
    <w:rPr>
      <w:rFonts w:ascii="Times New Roman" w:eastAsia="Times New Roman" w:hAnsi="Times New Roman"/>
      <w:sz w:val="24"/>
      <w:lang w:val="en-US"/>
    </w:rPr>
  </w:style>
  <w:style w:type="paragraph" w:styleId="Heading1">
    <w:name w:val="heading 1"/>
    <w:basedOn w:val="Normal"/>
    <w:next w:val="Normal"/>
    <w:link w:val="Heading1Char"/>
    <w:qFormat/>
    <w:rsid w:val="000504E2"/>
    <w:pPr>
      <w:keepNext/>
      <w:numPr>
        <w:numId w:val="2"/>
      </w:numPr>
      <w:spacing w:before="240" w:after="60"/>
      <w:jc w:val="both"/>
      <w:outlineLvl w:val="0"/>
    </w:pPr>
    <w:rPr>
      <w:rFonts w:ascii="Arial" w:hAnsi="Arial"/>
      <w:b/>
      <w:kern w:val="28"/>
    </w:rPr>
  </w:style>
  <w:style w:type="paragraph" w:styleId="Heading2">
    <w:name w:val="heading 2"/>
    <w:basedOn w:val="Normal"/>
    <w:next w:val="Normal"/>
    <w:link w:val="Heading2Char"/>
    <w:qFormat/>
    <w:rsid w:val="0053125B"/>
    <w:pPr>
      <w:numPr>
        <w:ilvl w:val="1"/>
        <w:numId w:val="1"/>
      </w:numPr>
      <w:tabs>
        <w:tab w:val="clear" w:pos="1285"/>
        <w:tab w:val="num" w:pos="709"/>
      </w:tabs>
      <w:ind w:hanging="1285"/>
      <w:jc w:val="both"/>
      <w:outlineLvl w:val="1"/>
    </w:pPr>
  </w:style>
  <w:style w:type="paragraph" w:styleId="Heading3">
    <w:name w:val="heading 3"/>
    <w:basedOn w:val="Heading2"/>
    <w:next w:val="Normal"/>
    <w:link w:val="Heading3Char"/>
    <w:uiPriority w:val="9"/>
    <w:unhideWhenUsed/>
    <w:qFormat/>
    <w:rsid w:val="009F5A86"/>
    <w:pPr>
      <w:numPr>
        <w:ilvl w:val="2"/>
      </w:numPr>
      <w:tabs>
        <w:tab w:val="clear" w:pos="720"/>
        <w:tab w:val="left" w:leader="dot" w:pos="1418"/>
      </w:tabs>
      <w:ind w:left="1418" w:hanging="709"/>
      <w:outlineLvl w:val="2"/>
    </w:pPr>
  </w:style>
  <w:style w:type="paragraph" w:styleId="Heading4">
    <w:name w:val="heading 4"/>
    <w:basedOn w:val="Normal"/>
    <w:next w:val="Normal"/>
    <w:link w:val="Heading4Char"/>
    <w:uiPriority w:val="9"/>
    <w:semiHidden/>
    <w:unhideWhenUsed/>
    <w:qFormat/>
    <w:rsid w:val="000504E2"/>
    <w:pPr>
      <w:keepNext/>
      <w:keepLines/>
      <w:spacing w:before="200"/>
      <w:outlineLvl w:val="3"/>
    </w:pPr>
    <w:rPr>
      <w:rFonts w:ascii="Cambria" w:eastAsia="PMingLiU" w:hAnsi="Cambria"/>
      <w:b/>
      <w:bCs/>
      <w:i/>
      <w:iCs/>
      <w:color w:val="4F81BD"/>
    </w:rPr>
  </w:style>
  <w:style w:type="paragraph" w:styleId="Heading5">
    <w:name w:val="heading 5"/>
    <w:basedOn w:val="Heading4"/>
    <w:next w:val="Normal"/>
    <w:link w:val="Heading5Char"/>
    <w:qFormat/>
    <w:rsid w:val="000504E2"/>
    <w:pPr>
      <w:keepLines w:val="0"/>
      <w:tabs>
        <w:tab w:val="num" w:pos="720"/>
      </w:tabs>
      <w:spacing w:before="240" w:after="60"/>
      <w:ind w:left="720" w:hanging="720"/>
      <w:jc w:val="both"/>
      <w:outlineLvl w:val="4"/>
    </w:pPr>
    <w:rPr>
      <w:rFonts w:ascii="Arial" w:eastAsia="Times New Roman" w:hAnsi="Arial"/>
      <w:bCs w:val="0"/>
      <w:i w:val="0"/>
      <w:iCs w:val="0"/>
      <w:color w:val="auto"/>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04E2"/>
    <w:rPr>
      <w:rFonts w:ascii="Arial" w:eastAsia="Times New Roman" w:hAnsi="Arial" w:cs="Times New Roman"/>
      <w:b/>
      <w:kern w:val="28"/>
      <w:sz w:val="24"/>
      <w:szCs w:val="20"/>
      <w:lang w:val="en-US" w:eastAsia="en-AU"/>
    </w:rPr>
  </w:style>
  <w:style w:type="character" w:customStyle="1" w:styleId="Heading2Char">
    <w:name w:val="Heading 2 Char"/>
    <w:link w:val="Heading2"/>
    <w:rsid w:val="0053125B"/>
    <w:rPr>
      <w:rFonts w:ascii="Times New Roman" w:eastAsia="Times New Roman" w:hAnsi="Times New Roman" w:cs="Times New Roman"/>
      <w:sz w:val="24"/>
      <w:szCs w:val="20"/>
      <w:lang w:val="en-US" w:eastAsia="en-AU"/>
    </w:rPr>
  </w:style>
  <w:style w:type="character" w:customStyle="1" w:styleId="Heading5Char">
    <w:name w:val="Heading 5 Char"/>
    <w:link w:val="Heading5"/>
    <w:rsid w:val="000504E2"/>
    <w:rPr>
      <w:rFonts w:ascii="Arial" w:eastAsia="Times New Roman" w:hAnsi="Arial" w:cs="Times New Roman"/>
      <w:b/>
      <w:kern w:val="28"/>
      <w:sz w:val="24"/>
      <w:szCs w:val="20"/>
      <w:lang w:val="en-US" w:eastAsia="en-AU"/>
    </w:rPr>
  </w:style>
  <w:style w:type="paragraph" w:styleId="Header">
    <w:name w:val="header"/>
    <w:basedOn w:val="Normal"/>
    <w:link w:val="HeaderChar"/>
    <w:semiHidden/>
    <w:rsid w:val="000504E2"/>
    <w:pPr>
      <w:tabs>
        <w:tab w:val="center" w:pos="4153"/>
        <w:tab w:val="right" w:pos="8306"/>
      </w:tabs>
    </w:pPr>
  </w:style>
  <w:style w:type="character" w:customStyle="1" w:styleId="HeaderChar">
    <w:name w:val="Header Char"/>
    <w:link w:val="Header"/>
    <w:semiHidden/>
    <w:rsid w:val="000504E2"/>
    <w:rPr>
      <w:rFonts w:ascii="Times New Roman" w:eastAsia="Times New Roman" w:hAnsi="Times New Roman" w:cs="Times New Roman"/>
      <w:sz w:val="24"/>
      <w:szCs w:val="20"/>
      <w:lang w:val="en-US" w:eastAsia="en-AU"/>
    </w:rPr>
  </w:style>
  <w:style w:type="paragraph" w:styleId="Footer">
    <w:name w:val="footer"/>
    <w:basedOn w:val="Normal"/>
    <w:link w:val="FooterChar"/>
    <w:semiHidden/>
    <w:rsid w:val="000504E2"/>
    <w:pPr>
      <w:tabs>
        <w:tab w:val="center" w:pos="4153"/>
        <w:tab w:val="right" w:pos="8306"/>
      </w:tabs>
    </w:pPr>
  </w:style>
  <w:style w:type="character" w:customStyle="1" w:styleId="FooterChar">
    <w:name w:val="Footer Char"/>
    <w:link w:val="Footer"/>
    <w:semiHidden/>
    <w:rsid w:val="000504E2"/>
    <w:rPr>
      <w:rFonts w:ascii="Times New Roman" w:eastAsia="Times New Roman" w:hAnsi="Times New Roman" w:cs="Times New Roman"/>
      <w:sz w:val="24"/>
      <w:szCs w:val="20"/>
      <w:lang w:val="en-US" w:eastAsia="en-AU"/>
    </w:rPr>
  </w:style>
  <w:style w:type="paragraph" w:styleId="Title">
    <w:name w:val="Title"/>
    <w:basedOn w:val="Normal"/>
    <w:link w:val="TitleChar"/>
    <w:qFormat/>
    <w:rsid w:val="000504E2"/>
    <w:pPr>
      <w:jc w:val="center"/>
    </w:pPr>
    <w:rPr>
      <w:b/>
      <w:sz w:val="28"/>
    </w:rPr>
  </w:style>
  <w:style w:type="character" w:customStyle="1" w:styleId="TitleChar">
    <w:name w:val="Title Char"/>
    <w:link w:val="Title"/>
    <w:rsid w:val="000504E2"/>
    <w:rPr>
      <w:rFonts w:ascii="Times New Roman" w:eastAsia="Times New Roman" w:hAnsi="Times New Roman" w:cs="Times New Roman"/>
      <w:b/>
      <w:sz w:val="28"/>
      <w:szCs w:val="20"/>
      <w:lang w:val="en-US" w:eastAsia="en-AU"/>
    </w:rPr>
  </w:style>
  <w:style w:type="paragraph" w:styleId="BodyText2">
    <w:name w:val="Body Text 2"/>
    <w:basedOn w:val="Normal"/>
    <w:link w:val="BodyText2Char"/>
    <w:semiHidden/>
    <w:rsid w:val="000504E2"/>
    <w:pPr>
      <w:jc w:val="both"/>
    </w:pPr>
  </w:style>
  <w:style w:type="character" w:customStyle="1" w:styleId="BodyText2Char">
    <w:name w:val="Body Text 2 Char"/>
    <w:link w:val="BodyText2"/>
    <w:semiHidden/>
    <w:rsid w:val="000504E2"/>
    <w:rPr>
      <w:rFonts w:ascii="Times New Roman" w:eastAsia="Times New Roman" w:hAnsi="Times New Roman" w:cs="Times New Roman"/>
      <w:sz w:val="24"/>
      <w:szCs w:val="20"/>
      <w:lang w:val="en-US" w:eastAsia="en-AU"/>
    </w:rPr>
  </w:style>
  <w:style w:type="paragraph" w:styleId="TOC1">
    <w:name w:val="toc 1"/>
    <w:basedOn w:val="Normal"/>
    <w:next w:val="Normal"/>
    <w:autoRedefine/>
    <w:uiPriority w:val="39"/>
    <w:rsid w:val="000504E2"/>
    <w:pPr>
      <w:spacing w:before="120" w:after="120"/>
    </w:pPr>
    <w:rPr>
      <w:b/>
      <w:caps/>
      <w:sz w:val="20"/>
    </w:rPr>
  </w:style>
  <w:style w:type="paragraph" w:styleId="PlainText">
    <w:name w:val="Plain Text"/>
    <w:basedOn w:val="Normal"/>
    <w:link w:val="PlainTextChar"/>
    <w:semiHidden/>
    <w:rsid w:val="000504E2"/>
    <w:rPr>
      <w:rFonts w:ascii="Courier New" w:hAnsi="Courier New"/>
      <w:sz w:val="20"/>
      <w:lang w:val="en-AU"/>
    </w:rPr>
  </w:style>
  <w:style w:type="character" w:customStyle="1" w:styleId="PlainTextChar">
    <w:name w:val="Plain Text Char"/>
    <w:link w:val="PlainText"/>
    <w:semiHidden/>
    <w:rsid w:val="000504E2"/>
    <w:rPr>
      <w:rFonts w:ascii="Courier New" w:eastAsia="Times New Roman" w:hAnsi="Courier New" w:cs="Times New Roman"/>
      <w:sz w:val="20"/>
      <w:szCs w:val="20"/>
      <w:lang w:eastAsia="en-AU"/>
    </w:rPr>
  </w:style>
  <w:style w:type="character" w:styleId="Hyperlink">
    <w:name w:val="Hyperlink"/>
    <w:uiPriority w:val="99"/>
    <w:rsid w:val="000504E2"/>
    <w:rPr>
      <w:color w:val="0000FF"/>
      <w:u w:val="single"/>
    </w:rPr>
  </w:style>
  <w:style w:type="paragraph" w:styleId="BodyTextIndent">
    <w:name w:val="Body Text Indent"/>
    <w:basedOn w:val="Normal"/>
    <w:link w:val="BodyTextIndentChar"/>
    <w:semiHidden/>
    <w:rsid w:val="000504E2"/>
    <w:pPr>
      <w:suppressAutoHyphens/>
      <w:spacing w:before="240"/>
      <w:ind w:left="1134" w:hanging="567"/>
    </w:pPr>
    <w:rPr>
      <w:rFonts w:ascii="Arial" w:hAnsi="Arial"/>
      <w:sz w:val="20"/>
      <w:lang w:val="en-GB"/>
    </w:rPr>
  </w:style>
  <w:style w:type="character" w:customStyle="1" w:styleId="BodyTextIndentChar">
    <w:name w:val="Body Text Indent Char"/>
    <w:link w:val="BodyTextIndent"/>
    <w:semiHidden/>
    <w:rsid w:val="000504E2"/>
    <w:rPr>
      <w:rFonts w:ascii="Arial" w:eastAsia="Times New Roman" w:hAnsi="Arial" w:cs="Times New Roman"/>
      <w:sz w:val="20"/>
      <w:szCs w:val="20"/>
      <w:lang w:val="en-GB"/>
    </w:rPr>
  </w:style>
  <w:style w:type="paragraph" w:styleId="BodyTextIndent2">
    <w:name w:val="Body Text Indent 2"/>
    <w:basedOn w:val="Normal"/>
    <w:link w:val="BodyTextIndent2Char"/>
    <w:semiHidden/>
    <w:rsid w:val="000504E2"/>
    <w:pPr>
      <w:ind w:left="360" w:hanging="360"/>
      <w:jc w:val="both"/>
    </w:pPr>
  </w:style>
  <w:style w:type="character" w:customStyle="1" w:styleId="BodyTextIndent2Char">
    <w:name w:val="Body Text Indent 2 Char"/>
    <w:link w:val="BodyTextIndent2"/>
    <w:semiHidden/>
    <w:rsid w:val="000504E2"/>
    <w:rPr>
      <w:rFonts w:ascii="Times New Roman" w:eastAsia="Times New Roman" w:hAnsi="Times New Roman" w:cs="Times New Roman"/>
      <w:sz w:val="24"/>
      <w:szCs w:val="20"/>
      <w:lang w:val="en-US" w:eastAsia="en-AU"/>
    </w:rPr>
  </w:style>
  <w:style w:type="paragraph" w:styleId="BodyTextIndent3">
    <w:name w:val="Body Text Indent 3"/>
    <w:basedOn w:val="Normal"/>
    <w:link w:val="BodyTextIndent3Char"/>
    <w:semiHidden/>
    <w:rsid w:val="000504E2"/>
    <w:pPr>
      <w:ind w:left="576"/>
      <w:jc w:val="both"/>
    </w:pPr>
    <w:rPr>
      <w:rFonts w:ascii="Arial" w:hAnsi="Arial"/>
    </w:rPr>
  </w:style>
  <w:style w:type="character" w:customStyle="1" w:styleId="BodyTextIndent3Char">
    <w:name w:val="Body Text Indent 3 Char"/>
    <w:link w:val="BodyTextIndent3"/>
    <w:semiHidden/>
    <w:rsid w:val="000504E2"/>
    <w:rPr>
      <w:rFonts w:ascii="Arial" w:eastAsia="Times New Roman" w:hAnsi="Arial" w:cs="Times New Roman"/>
      <w:sz w:val="24"/>
      <w:szCs w:val="20"/>
      <w:lang w:val="en-US" w:eastAsia="en-AU"/>
    </w:rPr>
  </w:style>
  <w:style w:type="paragraph" w:customStyle="1" w:styleId="Heading2notoc">
    <w:name w:val="Heading 2 no toc"/>
    <w:basedOn w:val="Heading2"/>
    <w:rsid w:val="000504E2"/>
    <w:pPr>
      <w:numPr>
        <w:numId w:val="2"/>
      </w:numPr>
    </w:pPr>
  </w:style>
  <w:style w:type="paragraph" w:styleId="ListParagraph">
    <w:name w:val="List Paragraph"/>
    <w:basedOn w:val="Normal"/>
    <w:uiPriority w:val="34"/>
    <w:qFormat/>
    <w:rsid w:val="000504E2"/>
    <w:pPr>
      <w:spacing w:after="200" w:line="276" w:lineRule="auto"/>
      <w:ind w:left="720"/>
      <w:contextualSpacing/>
    </w:pPr>
    <w:rPr>
      <w:rFonts w:ascii="Calibri" w:eastAsia="Calibri" w:hAnsi="Calibri"/>
      <w:sz w:val="22"/>
      <w:szCs w:val="22"/>
      <w:lang w:val="en-AU" w:eastAsia="en-US"/>
    </w:rPr>
  </w:style>
  <w:style w:type="character" w:customStyle="1" w:styleId="Heading4Char">
    <w:name w:val="Heading 4 Char"/>
    <w:link w:val="Heading4"/>
    <w:uiPriority w:val="9"/>
    <w:semiHidden/>
    <w:rsid w:val="000504E2"/>
    <w:rPr>
      <w:rFonts w:ascii="Cambria" w:eastAsia="PMingLiU" w:hAnsi="Cambria" w:cs="Times New Roman"/>
      <w:b/>
      <w:bCs/>
      <w:i/>
      <w:iCs/>
      <w:color w:val="4F81BD"/>
      <w:sz w:val="24"/>
      <w:szCs w:val="20"/>
      <w:lang w:val="en-US" w:eastAsia="en-AU"/>
    </w:rPr>
  </w:style>
  <w:style w:type="paragraph" w:styleId="BalloonText">
    <w:name w:val="Balloon Text"/>
    <w:basedOn w:val="Normal"/>
    <w:link w:val="BalloonTextChar"/>
    <w:uiPriority w:val="99"/>
    <w:semiHidden/>
    <w:unhideWhenUsed/>
    <w:rsid w:val="000504E2"/>
    <w:rPr>
      <w:rFonts w:ascii="Tahoma" w:hAnsi="Tahoma" w:cs="Tahoma"/>
      <w:sz w:val="16"/>
      <w:szCs w:val="16"/>
    </w:rPr>
  </w:style>
  <w:style w:type="character" w:customStyle="1" w:styleId="BalloonTextChar">
    <w:name w:val="Balloon Text Char"/>
    <w:link w:val="BalloonText"/>
    <w:uiPriority w:val="99"/>
    <w:semiHidden/>
    <w:rsid w:val="000504E2"/>
    <w:rPr>
      <w:rFonts w:ascii="Tahoma" w:eastAsia="Times New Roman" w:hAnsi="Tahoma" w:cs="Tahoma"/>
      <w:sz w:val="16"/>
      <w:szCs w:val="16"/>
      <w:lang w:val="en-US" w:eastAsia="en-AU"/>
    </w:rPr>
  </w:style>
  <w:style w:type="character" w:customStyle="1" w:styleId="Heading3Char">
    <w:name w:val="Heading 3 Char"/>
    <w:link w:val="Heading3"/>
    <w:uiPriority w:val="9"/>
    <w:rsid w:val="009F5A86"/>
    <w:rPr>
      <w:rFonts w:ascii="Arial" w:eastAsia="Times New Roman" w:hAnsi="Arial" w:cs="Times New Roman"/>
      <w:sz w:val="24"/>
      <w:szCs w:val="20"/>
      <w:lang w:val="en-US" w:eastAsia="en-AU"/>
    </w:rPr>
  </w:style>
  <w:style w:type="paragraph" w:styleId="NoSpacing">
    <w:name w:val="No Spacing"/>
    <w:uiPriority w:val="1"/>
    <w:qFormat/>
    <w:rsid w:val="000504E2"/>
    <w:rPr>
      <w:rFonts w:ascii="Times New Roman" w:eastAsia="Times New Roman" w:hAnsi="Times New Roman"/>
      <w:sz w:val="24"/>
      <w:lang w:val="en-US"/>
    </w:rPr>
  </w:style>
  <w:style w:type="paragraph" w:styleId="BodyText">
    <w:name w:val="Body Text"/>
    <w:basedOn w:val="Normal"/>
    <w:link w:val="BodyTextChar"/>
    <w:uiPriority w:val="99"/>
    <w:semiHidden/>
    <w:unhideWhenUsed/>
    <w:rsid w:val="00B472C3"/>
    <w:pPr>
      <w:spacing w:after="120"/>
    </w:pPr>
  </w:style>
  <w:style w:type="character" w:customStyle="1" w:styleId="BodyTextChar">
    <w:name w:val="Body Text Char"/>
    <w:link w:val="BodyText"/>
    <w:uiPriority w:val="99"/>
    <w:semiHidden/>
    <w:rsid w:val="00B472C3"/>
    <w:rPr>
      <w:rFonts w:ascii="Times New Roman" w:eastAsia="Times New Roman" w:hAnsi="Times New Roman" w:cs="Times New Roman"/>
      <w:sz w:val="24"/>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04887-5CCF-48CA-99E0-58580D98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7234</Characters>
  <Application>Microsoft Office Word</Application>
  <DocSecurity>0</DocSecurity>
  <Lines>190</Lines>
  <Paragraphs>93</Paragraphs>
  <ScaleCrop>false</ScaleCrop>
  <HeadingPairs>
    <vt:vector size="2" baseType="variant">
      <vt:variant>
        <vt:lpstr>Title</vt:lpstr>
      </vt:variant>
      <vt:variant>
        <vt:i4>1</vt:i4>
      </vt:variant>
    </vt:vector>
  </HeadingPairs>
  <TitlesOfParts>
    <vt:vector size="1" baseType="lpstr">
      <vt:lpstr/>
    </vt:vector>
  </TitlesOfParts>
  <Company>Forestry Tasmania</Company>
  <LinksUpToDate>false</LinksUpToDate>
  <CharactersWithSpaces>8542</CharactersWithSpaces>
  <SharedDoc>false</SharedDoc>
  <HLinks>
    <vt:vector size="36" baseType="variant">
      <vt:variant>
        <vt:i4>1507383</vt:i4>
      </vt:variant>
      <vt:variant>
        <vt:i4>32</vt:i4>
      </vt:variant>
      <vt:variant>
        <vt:i4>0</vt:i4>
      </vt:variant>
      <vt:variant>
        <vt:i4>5</vt:i4>
      </vt:variant>
      <vt:variant>
        <vt:lpwstr/>
      </vt:variant>
      <vt:variant>
        <vt:lpwstr>_Toc248746954</vt:lpwstr>
      </vt:variant>
      <vt:variant>
        <vt:i4>1507383</vt:i4>
      </vt:variant>
      <vt:variant>
        <vt:i4>26</vt:i4>
      </vt:variant>
      <vt:variant>
        <vt:i4>0</vt:i4>
      </vt:variant>
      <vt:variant>
        <vt:i4>5</vt:i4>
      </vt:variant>
      <vt:variant>
        <vt:lpwstr/>
      </vt:variant>
      <vt:variant>
        <vt:lpwstr>_Toc248746953</vt:lpwstr>
      </vt:variant>
      <vt:variant>
        <vt:i4>1507383</vt:i4>
      </vt:variant>
      <vt:variant>
        <vt:i4>20</vt:i4>
      </vt:variant>
      <vt:variant>
        <vt:i4>0</vt:i4>
      </vt:variant>
      <vt:variant>
        <vt:i4>5</vt:i4>
      </vt:variant>
      <vt:variant>
        <vt:lpwstr/>
      </vt:variant>
      <vt:variant>
        <vt:lpwstr>_Toc248746952</vt:lpwstr>
      </vt:variant>
      <vt:variant>
        <vt:i4>1507383</vt:i4>
      </vt:variant>
      <vt:variant>
        <vt:i4>14</vt:i4>
      </vt:variant>
      <vt:variant>
        <vt:i4>0</vt:i4>
      </vt:variant>
      <vt:variant>
        <vt:i4>5</vt:i4>
      </vt:variant>
      <vt:variant>
        <vt:lpwstr/>
      </vt:variant>
      <vt:variant>
        <vt:lpwstr>_Toc248746951</vt:lpwstr>
      </vt:variant>
      <vt:variant>
        <vt:i4>1507383</vt:i4>
      </vt:variant>
      <vt:variant>
        <vt:i4>8</vt:i4>
      </vt:variant>
      <vt:variant>
        <vt:i4>0</vt:i4>
      </vt:variant>
      <vt:variant>
        <vt:i4>5</vt:i4>
      </vt:variant>
      <vt:variant>
        <vt:lpwstr/>
      </vt:variant>
      <vt:variant>
        <vt:lpwstr>_Toc248746950</vt:lpwstr>
      </vt:variant>
      <vt:variant>
        <vt:i4>1441847</vt:i4>
      </vt:variant>
      <vt:variant>
        <vt:i4>2</vt:i4>
      </vt:variant>
      <vt:variant>
        <vt:i4>0</vt:i4>
      </vt:variant>
      <vt:variant>
        <vt:i4>5</vt:i4>
      </vt:variant>
      <vt:variant>
        <vt:lpwstr/>
      </vt:variant>
      <vt:variant>
        <vt:lpwstr>_Toc248746949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Collins</dc:creator>
  <cp:keywords/>
  <cp:lastModifiedBy>Lucy Poskitt</cp:lastModifiedBy>
  <cp:revision>3</cp:revision>
  <cp:lastPrinted>2020-02-05T22:45:00Z</cp:lastPrinted>
  <dcterms:created xsi:type="dcterms:W3CDTF">2025-10-16T04:06:00Z</dcterms:created>
  <dcterms:modified xsi:type="dcterms:W3CDTF">2025-10-16T04:07:00Z</dcterms:modified>
</cp:coreProperties>
</file>